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F9230" w14:textId="77777777" w:rsidR="00F12537" w:rsidRPr="009C1057" w:rsidRDefault="00F12537" w:rsidP="007D3FBF">
      <w:pPr>
        <w:pStyle w:val="Title"/>
        <w:rPr>
          <w:sz w:val="48"/>
          <w:szCs w:val="48"/>
        </w:rPr>
      </w:pPr>
      <w:r w:rsidRPr="009C1057">
        <w:rPr>
          <w:sz w:val="48"/>
          <w:szCs w:val="48"/>
        </w:rPr>
        <w:t>CHAPTER 7</w:t>
      </w:r>
    </w:p>
    <w:p w14:paraId="37C8150D" w14:textId="77777777" w:rsidR="00F12537" w:rsidRPr="00ED74F8" w:rsidRDefault="00F12537" w:rsidP="007D3FBF">
      <w:pPr>
        <w:pStyle w:val="BodyText"/>
        <w:rPr>
          <w:sz w:val="52"/>
          <w:szCs w:val="52"/>
        </w:rPr>
      </w:pPr>
      <w:r w:rsidRPr="00ED74F8">
        <w:rPr>
          <w:sz w:val="52"/>
          <w:szCs w:val="52"/>
        </w:rPr>
        <w:t>DAVIS-BACON LABOR STANDARDS</w:t>
      </w:r>
    </w:p>
    <w:p w14:paraId="11DC76DB" w14:textId="77777777" w:rsidR="00F12537" w:rsidRPr="00B67E4F" w:rsidRDefault="00F12537" w:rsidP="007D3FBF">
      <w:pPr>
        <w:rPr>
          <w:rFonts w:cs="Arial"/>
        </w:rPr>
      </w:pPr>
    </w:p>
    <w:p w14:paraId="51C86EF2" w14:textId="77777777" w:rsidR="00F12537" w:rsidRPr="00ED74F8" w:rsidRDefault="00A80D8A" w:rsidP="007D3FBF">
      <w:pPr>
        <w:jc w:val="center"/>
        <w:rPr>
          <w:rFonts w:cs="Arial"/>
          <w:sz w:val="28"/>
          <w:szCs w:val="28"/>
        </w:rPr>
      </w:pPr>
      <w:r w:rsidRPr="00ED74F8">
        <w:rPr>
          <w:rFonts w:cs="Arial"/>
          <w:sz w:val="28"/>
          <w:szCs w:val="28"/>
        </w:rPr>
        <w:t>TABLE OF CONTENTS</w:t>
      </w:r>
    </w:p>
    <w:p w14:paraId="11552D62" w14:textId="77777777" w:rsidR="00F12537" w:rsidRPr="00B67E4F" w:rsidRDefault="00F12537" w:rsidP="007D3FBF">
      <w:pPr>
        <w:pStyle w:val="Header"/>
        <w:tabs>
          <w:tab w:val="clear" w:pos="4320"/>
          <w:tab w:val="clear" w:pos="8640"/>
          <w:tab w:val="left" w:pos="1620"/>
          <w:tab w:val="right" w:pos="9360"/>
        </w:tabs>
        <w:rPr>
          <w:rFonts w:cs="Arial"/>
        </w:rPr>
      </w:pPr>
      <w:r w:rsidRPr="00B67E4F">
        <w:rPr>
          <w:rFonts w:cs="Arial"/>
        </w:rPr>
        <w:tab/>
      </w:r>
      <w:r w:rsidRPr="00B67E4F">
        <w:rPr>
          <w:rFonts w:cs="Arial"/>
        </w:rPr>
        <w:tab/>
      </w:r>
    </w:p>
    <w:p w14:paraId="0BBAB88F" w14:textId="77777777" w:rsidR="00056689" w:rsidRPr="00056689" w:rsidRDefault="00A233F2" w:rsidP="007D3FBF">
      <w:pPr>
        <w:jc w:val="right"/>
      </w:pPr>
      <w:r w:rsidRPr="00B67E4F">
        <w:rPr>
          <w:rFonts w:cs="Arial"/>
        </w:rPr>
        <w:t>Page</w:t>
      </w:r>
    </w:p>
    <w:p w14:paraId="4BB9230C" w14:textId="2096A884" w:rsidR="00307C40" w:rsidRPr="00307C40" w:rsidRDefault="0056757D">
      <w:pPr>
        <w:pStyle w:val="TOC1"/>
        <w:tabs>
          <w:tab w:val="right" w:leader="dot" w:pos="9926"/>
        </w:tabs>
        <w:rPr>
          <w:rFonts w:ascii="Arial" w:eastAsiaTheme="minorEastAsia" w:hAnsi="Arial" w:cs="Arial"/>
          <w:b w:val="0"/>
          <w:bCs w:val="0"/>
          <w:caps w:val="0"/>
          <w:noProof/>
          <w:sz w:val="22"/>
          <w:szCs w:val="22"/>
        </w:rPr>
      </w:pPr>
      <w:r w:rsidRPr="0056757D">
        <w:rPr>
          <w:rFonts w:ascii="Arial" w:hAnsi="Arial" w:cs="Arial"/>
          <w:b w:val="0"/>
          <w:bCs w:val="0"/>
          <w:caps w:val="0"/>
          <w:sz w:val="22"/>
          <w:szCs w:val="22"/>
        </w:rPr>
        <w:fldChar w:fldCharType="begin"/>
      </w:r>
      <w:r w:rsidRPr="0056757D">
        <w:rPr>
          <w:rFonts w:ascii="Arial" w:hAnsi="Arial" w:cs="Arial"/>
          <w:b w:val="0"/>
          <w:bCs w:val="0"/>
          <w:caps w:val="0"/>
          <w:sz w:val="22"/>
          <w:szCs w:val="22"/>
        </w:rPr>
        <w:instrText xml:space="preserve"> TOC \o "1-2" \h \z \u </w:instrText>
      </w:r>
      <w:r w:rsidRPr="0056757D">
        <w:rPr>
          <w:rFonts w:ascii="Arial" w:hAnsi="Arial" w:cs="Arial"/>
          <w:b w:val="0"/>
          <w:bCs w:val="0"/>
          <w:caps w:val="0"/>
          <w:sz w:val="22"/>
          <w:szCs w:val="22"/>
        </w:rPr>
        <w:fldChar w:fldCharType="separate"/>
      </w:r>
      <w:hyperlink w:anchor="_Toc123207969" w:history="1">
        <w:r w:rsidR="00307C40" w:rsidRPr="00307C40">
          <w:rPr>
            <w:rStyle w:val="Hyperlink"/>
            <w:rFonts w:ascii="Arial" w:hAnsi="Arial" w:cs="Arial"/>
            <w:noProof/>
            <w:sz w:val="22"/>
            <w:szCs w:val="22"/>
          </w:rPr>
          <w:t>7.0 Introduction</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_Toc123207969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2</w:t>
        </w:r>
        <w:r w:rsidR="00307C40" w:rsidRPr="00307C40">
          <w:rPr>
            <w:rFonts w:ascii="Arial" w:hAnsi="Arial" w:cs="Arial"/>
            <w:noProof/>
            <w:webHidden/>
            <w:sz w:val="22"/>
            <w:szCs w:val="22"/>
          </w:rPr>
          <w:fldChar w:fldCharType="end"/>
        </w:r>
      </w:hyperlink>
    </w:p>
    <w:p w14:paraId="18825DF3" w14:textId="61946197" w:rsidR="00307C40" w:rsidRPr="00307C40" w:rsidRDefault="00000000">
      <w:pPr>
        <w:pStyle w:val="TOC1"/>
        <w:tabs>
          <w:tab w:val="right" w:leader="dot" w:pos="9926"/>
        </w:tabs>
        <w:rPr>
          <w:rFonts w:ascii="Arial" w:eastAsiaTheme="minorEastAsia" w:hAnsi="Arial" w:cs="Arial"/>
          <w:b w:val="0"/>
          <w:bCs w:val="0"/>
          <w:caps w:val="0"/>
          <w:noProof/>
          <w:sz w:val="22"/>
          <w:szCs w:val="22"/>
        </w:rPr>
      </w:pPr>
      <w:hyperlink w:anchor="_Toc123207970" w:history="1">
        <w:r w:rsidR="00307C40" w:rsidRPr="00307C40">
          <w:rPr>
            <w:rStyle w:val="Hyperlink"/>
            <w:rFonts w:ascii="Arial" w:hAnsi="Arial" w:cs="Arial"/>
            <w:noProof/>
            <w:sz w:val="22"/>
            <w:szCs w:val="22"/>
          </w:rPr>
          <w:t>7.1 Objectives of Davis-Bacon</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_Toc123207970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2</w:t>
        </w:r>
        <w:r w:rsidR="00307C40" w:rsidRPr="00307C40">
          <w:rPr>
            <w:rFonts w:ascii="Arial" w:hAnsi="Arial" w:cs="Arial"/>
            <w:noProof/>
            <w:webHidden/>
            <w:sz w:val="22"/>
            <w:szCs w:val="22"/>
          </w:rPr>
          <w:fldChar w:fldCharType="end"/>
        </w:r>
      </w:hyperlink>
    </w:p>
    <w:p w14:paraId="5C5AFDE8" w14:textId="5ADAD931" w:rsidR="00307C40" w:rsidRPr="00307C40" w:rsidRDefault="00000000">
      <w:pPr>
        <w:pStyle w:val="TOC1"/>
        <w:tabs>
          <w:tab w:val="right" w:leader="dot" w:pos="9926"/>
        </w:tabs>
        <w:rPr>
          <w:rFonts w:ascii="Arial" w:eastAsiaTheme="minorEastAsia" w:hAnsi="Arial" w:cs="Arial"/>
          <w:b w:val="0"/>
          <w:bCs w:val="0"/>
          <w:caps w:val="0"/>
          <w:noProof/>
          <w:sz w:val="22"/>
          <w:szCs w:val="22"/>
        </w:rPr>
      </w:pPr>
      <w:hyperlink w:anchor="_Toc123207971" w:history="1">
        <w:r w:rsidR="00307C40" w:rsidRPr="00307C40">
          <w:rPr>
            <w:rStyle w:val="Hyperlink"/>
            <w:rFonts w:ascii="Arial" w:hAnsi="Arial" w:cs="Arial"/>
            <w:noProof/>
            <w:sz w:val="22"/>
            <w:szCs w:val="22"/>
          </w:rPr>
          <w:t>7.2 Procedures for Labor Standards Compliance</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_Toc123207971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3</w:t>
        </w:r>
        <w:r w:rsidR="00307C40" w:rsidRPr="00307C40">
          <w:rPr>
            <w:rFonts w:ascii="Arial" w:hAnsi="Arial" w:cs="Arial"/>
            <w:noProof/>
            <w:webHidden/>
            <w:sz w:val="22"/>
            <w:szCs w:val="22"/>
          </w:rPr>
          <w:fldChar w:fldCharType="end"/>
        </w:r>
      </w:hyperlink>
    </w:p>
    <w:p w14:paraId="29CB83D3" w14:textId="3F31C86B" w:rsidR="00307C40" w:rsidRPr="00307C40" w:rsidRDefault="00000000">
      <w:pPr>
        <w:pStyle w:val="TOC2"/>
        <w:tabs>
          <w:tab w:val="right" w:leader="dot" w:pos="9926"/>
        </w:tabs>
        <w:rPr>
          <w:rFonts w:ascii="Arial" w:eastAsiaTheme="minorEastAsia" w:hAnsi="Arial" w:cs="Arial"/>
          <w:smallCaps w:val="0"/>
          <w:noProof/>
          <w:sz w:val="22"/>
          <w:szCs w:val="22"/>
        </w:rPr>
      </w:pPr>
      <w:hyperlink w:anchor="_Toc123207972" w:history="1">
        <w:r w:rsidR="00307C40" w:rsidRPr="00307C40">
          <w:rPr>
            <w:rStyle w:val="Hyperlink"/>
            <w:rFonts w:ascii="Arial" w:hAnsi="Arial" w:cs="Arial"/>
            <w:noProof/>
            <w:sz w:val="22"/>
            <w:szCs w:val="22"/>
          </w:rPr>
          <w:t>7.2.1 Restitution for Underpayment of Wages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_Toc123207972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9</w:t>
        </w:r>
        <w:r w:rsidR="00307C40" w:rsidRPr="00307C40">
          <w:rPr>
            <w:rFonts w:ascii="Arial" w:hAnsi="Arial" w:cs="Arial"/>
            <w:noProof/>
            <w:webHidden/>
            <w:sz w:val="22"/>
            <w:szCs w:val="22"/>
          </w:rPr>
          <w:fldChar w:fldCharType="end"/>
        </w:r>
      </w:hyperlink>
    </w:p>
    <w:p w14:paraId="7F8D079F" w14:textId="30421290" w:rsidR="00307C40" w:rsidRPr="00307C40" w:rsidRDefault="00000000">
      <w:pPr>
        <w:pStyle w:val="TOC2"/>
        <w:tabs>
          <w:tab w:val="right" w:leader="dot" w:pos="9926"/>
        </w:tabs>
        <w:rPr>
          <w:rFonts w:ascii="Arial" w:eastAsiaTheme="minorEastAsia" w:hAnsi="Arial" w:cs="Arial"/>
          <w:smallCaps w:val="0"/>
          <w:noProof/>
          <w:sz w:val="22"/>
          <w:szCs w:val="22"/>
        </w:rPr>
      </w:pPr>
      <w:hyperlink w:anchor="_Toc123207973" w:history="1">
        <w:r w:rsidR="00307C40" w:rsidRPr="00307C40">
          <w:rPr>
            <w:rStyle w:val="Hyperlink"/>
            <w:rFonts w:ascii="Arial" w:hAnsi="Arial" w:cs="Arial"/>
            <w:noProof/>
            <w:sz w:val="22"/>
            <w:szCs w:val="22"/>
          </w:rPr>
          <w:t>7.2.2 Labor Disputes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_Toc123207973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10</w:t>
        </w:r>
        <w:r w:rsidR="00307C40" w:rsidRPr="00307C40">
          <w:rPr>
            <w:rFonts w:ascii="Arial" w:hAnsi="Arial" w:cs="Arial"/>
            <w:noProof/>
            <w:webHidden/>
            <w:sz w:val="22"/>
            <w:szCs w:val="22"/>
          </w:rPr>
          <w:fldChar w:fldCharType="end"/>
        </w:r>
      </w:hyperlink>
    </w:p>
    <w:p w14:paraId="606A5406" w14:textId="5F26BB6B" w:rsidR="00307C40" w:rsidRPr="00307C40" w:rsidRDefault="00000000">
      <w:pPr>
        <w:pStyle w:val="TOC1"/>
        <w:tabs>
          <w:tab w:val="right" w:leader="dot" w:pos="9926"/>
        </w:tabs>
        <w:rPr>
          <w:rFonts w:ascii="Arial" w:eastAsiaTheme="minorEastAsia" w:hAnsi="Arial" w:cs="Arial"/>
          <w:b w:val="0"/>
          <w:bCs w:val="0"/>
          <w:caps w:val="0"/>
          <w:noProof/>
          <w:sz w:val="22"/>
          <w:szCs w:val="22"/>
        </w:rPr>
      </w:pPr>
      <w:hyperlink w:anchor="_Toc123207974" w:history="1">
        <w:r w:rsidR="00307C40" w:rsidRPr="00307C40">
          <w:rPr>
            <w:rStyle w:val="Hyperlink"/>
            <w:rFonts w:ascii="Arial" w:hAnsi="Arial" w:cs="Arial"/>
            <w:noProof/>
            <w:sz w:val="22"/>
            <w:szCs w:val="22"/>
          </w:rPr>
          <w:t>7.3 Exemptions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_Toc123207974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12</w:t>
        </w:r>
        <w:r w:rsidR="00307C40" w:rsidRPr="00307C40">
          <w:rPr>
            <w:rFonts w:ascii="Arial" w:hAnsi="Arial" w:cs="Arial"/>
            <w:noProof/>
            <w:webHidden/>
            <w:sz w:val="22"/>
            <w:szCs w:val="22"/>
          </w:rPr>
          <w:fldChar w:fldCharType="end"/>
        </w:r>
      </w:hyperlink>
    </w:p>
    <w:p w14:paraId="6A264E5B" w14:textId="318605F1" w:rsidR="00307C40" w:rsidRPr="00307C40" w:rsidRDefault="00000000">
      <w:pPr>
        <w:pStyle w:val="TOC1"/>
        <w:tabs>
          <w:tab w:val="right" w:leader="dot" w:pos="9926"/>
        </w:tabs>
        <w:rPr>
          <w:rFonts w:ascii="Arial" w:eastAsiaTheme="minorEastAsia" w:hAnsi="Arial" w:cs="Arial"/>
          <w:b w:val="0"/>
          <w:bCs w:val="0"/>
          <w:caps w:val="0"/>
          <w:noProof/>
          <w:sz w:val="22"/>
          <w:szCs w:val="22"/>
        </w:rPr>
      </w:pPr>
      <w:hyperlink w:anchor="_Toc123207975" w:history="1">
        <w:r w:rsidR="00307C40" w:rsidRPr="00307C40">
          <w:rPr>
            <w:rStyle w:val="Hyperlink"/>
            <w:rFonts w:ascii="Arial" w:hAnsi="Arial" w:cs="Arial"/>
            <w:noProof/>
            <w:sz w:val="22"/>
            <w:szCs w:val="22"/>
          </w:rPr>
          <w:t>7.4 Recordkeeping Requirements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_Toc123207975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12</w:t>
        </w:r>
        <w:r w:rsidR="00307C40" w:rsidRPr="00307C40">
          <w:rPr>
            <w:rFonts w:ascii="Arial" w:hAnsi="Arial" w:cs="Arial"/>
            <w:noProof/>
            <w:webHidden/>
            <w:sz w:val="22"/>
            <w:szCs w:val="22"/>
          </w:rPr>
          <w:fldChar w:fldCharType="end"/>
        </w:r>
      </w:hyperlink>
    </w:p>
    <w:p w14:paraId="5A98F3A4" w14:textId="3BAE31A3" w:rsidR="00307C40" w:rsidRPr="00307C40" w:rsidRDefault="00000000">
      <w:pPr>
        <w:pStyle w:val="TOC1"/>
        <w:tabs>
          <w:tab w:val="right" w:leader="dot" w:pos="9926"/>
        </w:tabs>
        <w:rPr>
          <w:rFonts w:ascii="Arial" w:eastAsiaTheme="minorEastAsia" w:hAnsi="Arial" w:cs="Arial"/>
          <w:b w:val="0"/>
          <w:bCs w:val="0"/>
          <w:caps w:val="0"/>
          <w:noProof/>
          <w:sz w:val="22"/>
          <w:szCs w:val="22"/>
        </w:rPr>
      </w:pPr>
      <w:hyperlink w:anchor="_Toc123207976" w:history="1">
        <w:r w:rsidR="00307C40" w:rsidRPr="00307C40">
          <w:rPr>
            <w:rStyle w:val="Hyperlink"/>
            <w:rFonts w:ascii="Arial" w:hAnsi="Arial" w:cs="Arial"/>
            <w:noProof/>
            <w:sz w:val="22"/>
            <w:szCs w:val="22"/>
          </w:rPr>
          <w:t>7.5 Laws and Regulations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_Toc123207976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13</w:t>
        </w:r>
        <w:r w:rsidR="00307C40" w:rsidRPr="00307C40">
          <w:rPr>
            <w:rFonts w:ascii="Arial" w:hAnsi="Arial" w:cs="Arial"/>
            <w:noProof/>
            <w:webHidden/>
            <w:sz w:val="22"/>
            <w:szCs w:val="22"/>
          </w:rPr>
          <w:fldChar w:fldCharType="end"/>
        </w:r>
      </w:hyperlink>
    </w:p>
    <w:p w14:paraId="38C7BAB6" w14:textId="45C45F83" w:rsidR="00307C40" w:rsidRPr="00307C40" w:rsidRDefault="00000000">
      <w:pPr>
        <w:pStyle w:val="TOC2"/>
        <w:tabs>
          <w:tab w:val="right" w:leader="dot" w:pos="9926"/>
        </w:tabs>
        <w:rPr>
          <w:rFonts w:ascii="Arial" w:eastAsiaTheme="minorEastAsia" w:hAnsi="Arial" w:cs="Arial"/>
          <w:smallCaps w:val="0"/>
          <w:noProof/>
          <w:sz w:val="22"/>
          <w:szCs w:val="22"/>
        </w:rPr>
      </w:pPr>
      <w:hyperlink w:anchor="_Toc123207977" w:history="1">
        <w:r w:rsidR="00307C40" w:rsidRPr="00307C40">
          <w:rPr>
            <w:rStyle w:val="Hyperlink"/>
            <w:rFonts w:ascii="Arial" w:hAnsi="Arial" w:cs="Arial"/>
            <w:noProof/>
            <w:sz w:val="22"/>
            <w:szCs w:val="22"/>
          </w:rPr>
          <w:t>7.5.1 Laws Regarding Labor Standards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_Toc123207977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13</w:t>
        </w:r>
        <w:r w:rsidR="00307C40" w:rsidRPr="00307C40">
          <w:rPr>
            <w:rFonts w:ascii="Arial" w:hAnsi="Arial" w:cs="Arial"/>
            <w:noProof/>
            <w:webHidden/>
            <w:sz w:val="22"/>
            <w:szCs w:val="22"/>
          </w:rPr>
          <w:fldChar w:fldCharType="end"/>
        </w:r>
      </w:hyperlink>
    </w:p>
    <w:p w14:paraId="6152B3AE" w14:textId="7E875664" w:rsidR="00307C40" w:rsidRPr="00307C40" w:rsidRDefault="00000000">
      <w:pPr>
        <w:pStyle w:val="TOC2"/>
        <w:tabs>
          <w:tab w:val="right" w:leader="dot" w:pos="9926"/>
        </w:tabs>
        <w:rPr>
          <w:rFonts w:ascii="Arial" w:eastAsiaTheme="minorEastAsia" w:hAnsi="Arial" w:cs="Arial"/>
          <w:smallCaps w:val="0"/>
          <w:noProof/>
          <w:sz w:val="22"/>
          <w:szCs w:val="22"/>
        </w:rPr>
      </w:pPr>
      <w:hyperlink w:anchor="_Toc123207978" w:history="1">
        <w:r w:rsidR="00307C40" w:rsidRPr="00307C40">
          <w:rPr>
            <w:rStyle w:val="Hyperlink"/>
            <w:rFonts w:ascii="Arial" w:hAnsi="Arial" w:cs="Arial"/>
            <w:noProof/>
            <w:sz w:val="22"/>
            <w:szCs w:val="22"/>
          </w:rPr>
          <w:t>7.5.2 Davis-Bacon Regulations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_Toc123207978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13</w:t>
        </w:r>
        <w:r w:rsidR="00307C40" w:rsidRPr="00307C40">
          <w:rPr>
            <w:rFonts w:ascii="Arial" w:hAnsi="Arial" w:cs="Arial"/>
            <w:noProof/>
            <w:webHidden/>
            <w:sz w:val="22"/>
            <w:szCs w:val="22"/>
          </w:rPr>
          <w:fldChar w:fldCharType="end"/>
        </w:r>
      </w:hyperlink>
    </w:p>
    <w:p w14:paraId="3CC3F2B4" w14:textId="077B6021" w:rsidR="00307C40" w:rsidRPr="00307C40" w:rsidRDefault="00000000">
      <w:pPr>
        <w:pStyle w:val="TOC2"/>
        <w:tabs>
          <w:tab w:val="right" w:leader="dot" w:pos="9926"/>
        </w:tabs>
        <w:rPr>
          <w:rFonts w:ascii="Arial" w:eastAsiaTheme="minorEastAsia" w:hAnsi="Arial" w:cs="Arial"/>
          <w:smallCaps w:val="0"/>
          <w:noProof/>
          <w:sz w:val="22"/>
          <w:szCs w:val="22"/>
        </w:rPr>
      </w:pPr>
      <w:hyperlink w:anchor="_Toc123207979" w:history="1">
        <w:r w:rsidR="00307C40" w:rsidRPr="00307C40">
          <w:rPr>
            <w:rStyle w:val="Hyperlink"/>
            <w:rFonts w:ascii="Arial" w:hAnsi="Arial" w:cs="Arial"/>
            <w:noProof/>
            <w:sz w:val="22"/>
            <w:szCs w:val="22"/>
          </w:rPr>
          <w:t>Resources</w:t>
        </w:r>
        <w:r w:rsidR="00307C40" w:rsidRPr="00307C40">
          <w:rPr>
            <w:rFonts w:ascii="Arial" w:hAnsi="Arial" w:cs="Arial"/>
            <w:noProof/>
            <w:webHidden/>
            <w:sz w:val="22"/>
            <w:szCs w:val="22"/>
          </w:rPr>
          <w:tab/>
        </w:r>
        <w:r w:rsidR="00307C40" w:rsidRPr="00307C40">
          <w:rPr>
            <w:rFonts w:ascii="Arial" w:hAnsi="Arial" w:cs="Arial"/>
            <w:noProof/>
            <w:webHidden/>
            <w:sz w:val="22"/>
            <w:szCs w:val="22"/>
          </w:rPr>
          <w:fldChar w:fldCharType="begin"/>
        </w:r>
        <w:r w:rsidR="00307C40" w:rsidRPr="00307C40">
          <w:rPr>
            <w:rFonts w:ascii="Arial" w:hAnsi="Arial" w:cs="Arial"/>
            <w:noProof/>
            <w:webHidden/>
            <w:sz w:val="22"/>
            <w:szCs w:val="22"/>
          </w:rPr>
          <w:instrText xml:space="preserve"> PAGEREF _Toc123207979 \h </w:instrText>
        </w:r>
        <w:r w:rsidR="00307C40" w:rsidRPr="00307C40">
          <w:rPr>
            <w:rFonts w:ascii="Arial" w:hAnsi="Arial" w:cs="Arial"/>
            <w:noProof/>
            <w:webHidden/>
            <w:sz w:val="22"/>
            <w:szCs w:val="22"/>
          </w:rPr>
        </w:r>
        <w:r w:rsidR="00307C40" w:rsidRPr="00307C40">
          <w:rPr>
            <w:rFonts w:ascii="Arial" w:hAnsi="Arial" w:cs="Arial"/>
            <w:noProof/>
            <w:webHidden/>
            <w:sz w:val="22"/>
            <w:szCs w:val="22"/>
          </w:rPr>
          <w:fldChar w:fldCharType="separate"/>
        </w:r>
        <w:r w:rsidR="00307C40" w:rsidRPr="00307C40">
          <w:rPr>
            <w:rFonts w:ascii="Arial" w:hAnsi="Arial" w:cs="Arial"/>
            <w:noProof/>
            <w:webHidden/>
            <w:sz w:val="22"/>
            <w:szCs w:val="22"/>
          </w:rPr>
          <w:t>13</w:t>
        </w:r>
        <w:r w:rsidR="00307C40" w:rsidRPr="00307C40">
          <w:rPr>
            <w:rFonts w:ascii="Arial" w:hAnsi="Arial" w:cs="Arial"/>
            <w:noProof/>
            <w:webHidden/>
            <w:sz w:val="22"/>
            <w:szCs w:val="22"/>
          </w:rPr>
          <w:fldChar w:fldCharType="end"/>
        </w:r>
      </w:hyperlink>
    </w:p>
    <w:p w14:paraId="43085587" w14:textId="4442AAB9" w:rsidR="00056689" w:rsidRDefault="0056757D" w:rsidP="00F134FB">
      <w:r w:rsidRPr="0056757D">
        <w:rPr>
          <w:rFonts w:cs="Arial"/>
          <w:b/>
          <w:bCs/>
          <w:caps/>
          <w:szCs w:val="22"/>
        </w:rPr>
        <w:fldChar w:fldCharType="end"/>
      </w:r>
    </w:p>
    <w:p w14:paraId="5F6E9F62" w14:textId="77777777" w:rsidR="0075764E" w:rsidRPr="009C1057" w:rsidRDefault="00437B4E" w:rsidP="007D3FBF">
      <w:pPr>
        <w:pStyle w:val="Title"/>
        <w:rPr>
          <w:sz w:val="48"/>
          <w:szCs w:val="48"/>
        </w:rPr>
      </w:pPr>
      <w:r>
        <w:br w:type="page"/>
      </w:r>
      <w:r w:rsidR="0075764E" w:rsidRPr="009C1057">
        <w:rPr>
          <w:sz w:val="48"/>
          <w:szCs w:val="48"/>
        </w:rPr>
        <w:lastRenderedPageBreak/>
        <w:t>CHAPTER 7</w:t>
      </w:r>
    </w:p>
    <w:p w14:paraId="31E5670B" w14:textId="77777777" w:rsidR="0075764E" w:rsidRPr="009C1057" w:rsidRDefault="0075764E" w:rsidP="007D3FBF">
      <w:pPr>
        <w:pStyle w:val="BodyText"/>
        <w:rPr>
          <w:sz w:val="48"/>
          <w:szCs w:val="48"/>
        </w:rPr>
      </w:pPr>
      <w:r w:rsidRPr="009C1057">
        <w:rPr>
          <w:sz w:val="48"/>
          <w:szCs w:val="48"/>
        </w:rPr>
        <w:t>DAVIS-BACON LABOR STANDARDS</w:t>
      </w:r>
    </w:p>
    <w:p w14:paraId="186AFC6D" w14:textId="77777777" w:rsidR="008216BF" w:rsidRPr="00B67E4F" w:rsidRDefault="008216BF" w:rsidP="007D3FBF"/>
    <w:p w14:paraId="5B629EAA" w14:textId="77777777" w:rsidR="00056689" w:rsidRPr="00A85744" w:rsidRDefault="00056689" w:rsidP="007D3FBF">
      <w:pPr>
        <w:pStyle w:val="Heading1"/>
      </w:pPr>
      <w:bookmarkStart w:id="0" w:name="_Toc123112449"/>
      <w:bookmarkStart w:id="1" w:name="_Toc123207969"/>
      <w:r w:rsidRPr="00A85744">
        <w:t xml:space="preserve">7.0 </w:t>
      </w:r>
      <w:r w:rsidR="005166F4" w:rsidRPr="00A85744">
        <w:t>Introduction</w:t>
      </w:r>
      <w:bookmarkEnd w:id="0"/>
      <w:bookmarkEnd w:id="1"/>
    </w:p>
    <w:p w14:paraId="716DC685" w14:textId="77777777" w:rsidR="00A85744" w:rsidRPr="00A85744" w:rsidRDefault="00A85744" w:rsidP="007D3FBF"/>
    <w:p w14:paraId="1B65CDE9" w14:textId="77777777" w:rsidR="00256EBC" w:rsidRDefault="00A75DCD" w:rsidP="007D3FBF">
      <w:pPr>
        <w:pStyle w:val="BodyText3"/>
        <w:jc w:val="both"/>
        <w:rPr>
          <w:rFonts w:cs="Arial"/>
          <w:sz w:val="22"/>
          <w:szCs w:val="22"/>
          <w:lang w:val="en-US"/>
        </w:rPr>
      </w:pPr>
      <w:r w:rsidRPr="00B67E4F">
        <w:rPr>
          <w:rFonts w:cs="Arial"/>
          <w:sz w:val="22"/>
          <w:szCs w:val="22"/>
        </w:rPr>
        <w:t>This chapter offers a brief description of the laws and regulations associated with federal labor standards administration and enforcement, including TxCDBG contract requirements for Davis-Bacon compliance and responsibilities of the Grant Recipient</w:t>
      </w:r>
      <w:r w:rsidR="00856D95">
        <w:rPr>
          <w:rFonts w:cs="Arial"/>
          <w:sz w:val="22"/>
          <w:szCs w:val="22"/>
          <w:lang w:val="en-US"/>
        </w:rPr>
        <w:t>.</w:t>
      </w:r>
    </w:p>
    <w:p w14:paraId="2B992535" w14:textId="77777777" w:rsidR="00256EBC" w:rsidRDefault="00256EBC" w:rsidP="007D3FBF">
      <w:pPr>
        <w:pStyle w:val="1BODYArial11"/>
        <w:spacing w:line="240" w:lineRule="auto"/>
      </w:pPr>
    </w:p>
    <w:p w14:paraId="2D35399F" w14:textId="061F49D8" w:rsidR="00A75DCD" w:rsidRPr="00AC7E5B" w:rsidRDefault="00A75DCD" w:rsidP="007D3FBF">
      <w:pPr>
        <w:pStyle w:val="1BODYArial11"/>
        <w:spacing w:line="240" w:lineRule="auto"/>
        <w:rPr>
          <w:lang w:val="en-US"/>
        </w:rPr>
      </w:pPr>
      <w:r>
        <w:t>This chapter refers to</w:t>
      </w:r>
      <w:r w:rsidR="00BC6847">
        <w:t xml:space="preserve"> HUD</w:t>
      </w:r>
      <w:r w:rsidR="007657F0">
        <w:rPr>
          <w:lang w:val="en-US"/>
        </w:rPr>
        <w:t xml:space="preserve">’s policy guide titled </w:t>
      </w:r>
      <w:r w:rsidR="007657F0" w:rsidRPr="0085008D">
        <w:rPr>
          <w:i/>
          <w:iCs/>
          <w:lang w:val="en-US"/>
        </w:rPr>
        <w:t>Federal Labor Standards Requirements in Housing and Urban Development Programs</w:t>
      </w:r>
      <w:r w:rsidR="007657F0">
        <w:rPr>
          <w:lang w:val="en-US"/>
        </w:rPr>
        <w:t xml:space="preserve">, </w:t>
      </w:r>
      <w:r w:rsidR="00BD484B">
        <w:rPr>
          <w:lang w:val="en-US"/>
        </w:rPr>
        <w:t xml:space="preserve">but more </w:t>
      </w:r>
      <w:r w:rsidR="007657F0">
        <w:rPr>
          <w:lang w:val="en-US"/>
        </w:rPr>
        <w:t>commonly referred to as HUD</w:t>
      </w:r>
      <w:r w:rsidR="00BC6847">
        <w:t xml:space="preserve"> Handboo</w:t>
      </w:r>
      <w:r>
        <w:t xml:space="preserve">k </w:t>
      </w:r>
      <w:r w:rsidR="000433FC" w:rsidRPr="003C7114">
        <w:t>1344</w:t>
      </w:r>
      <w:r w:rsidR="00BC6847" w:rsidRPr="003C7114">
        <w:t>.1</w:t>
      </w:r>
      <w:r w:rsidR="007657F0">
        <w:rPr>
          <w:lang w:val="en-US"/>
        </w:rPr>
        <w:t xml:space="preserve"> Rev </w:t>
      </w:r>
      <w:r w:rsidR="00D33440">
        <w:rPr>
          <w:lang w:val="en-US"/>
        </w:rPr>
        <w:t>3</w:t>
      </w:r>
      <w:r w:rsidR="00256EBC">
        <w:t xml:space="preserve">. </w:t>
      </w:r>
      <w:r w:rsidR="00BD484B">
        <w:rPr>
          <w:lang w:val="en-US"/>
        </w:rPr>
        <w:t xml:space="preserve">The </w:t>
      </w:r>
      <w:r w:rsidR="002E177E">
        <w:rPr>
          <w:lang w:val="en-US"/>
        </w:rPr>
        <w:t xml:space="preserve">Handbook in its </w:t>
      </w:r>
      <w:r w:rsidR="002E177E" w:rsidRPr="0085008D">
        <w:t>entirety and other technical i</w:t>
      </w:r>
      <w:r w:rsidR="00BC66C6" w:rsidRPr="0085008D">
        <w:t xml:space="preserve">nformation about </w:t>
      </w:r>
      <w:r w:rsidR="002E177E" w:rsidRPr="0085008D">
        <w:t xml:space="preserve">federal labor standards </w:t>
      </w:r>
      <w:r w:rsidR="00BC66C6" w:rsidRPr="0085008D">
        <w:t>requirement</w:t>
      </w:r>
      <w:r w:rsidR="002E177E" w:rsidRPr="0085008D">
        <w:t>s</w:t>
      </w:r>
      <w:r w:rsidR="00BC66C6" w:rsidRPr="0085008D">
        <w:t xml:space="preserve"> can be </w:t>
      </w:r>
      <w:r w:rsidR="00BC6847" w:rsidRPr="0085008D">
        <w:t xml:space="preserve">found on </w:t>
      </w:r>
      <w:r w:rsidR="0085008D" w:rsidRPr="0085008D">
        <w:t>HUD’s website</w:t>
      </w:r>
      <w:r w:rsidR="00AC7E5B" w:rsidRPr="0085008D">
        <w:t>.</w:t>
      </w:r>
    </w:p>
    <w:p w14:paraId="6DF05AA8" w14:textId="77777777" w:rsidR="00A75DCD" w:rsidRDefault="00A75DCD" w:rsidP="007D3FBF">
      <w:pPr>
        <w:pStyle w:val="1BODYArial11"/>
        <w:spacing w:line="240" w:lineRule="auto"/>
      </w:pPr>
    </w:p>
    <w:p w14:paraId="38D2CD54" w14:textId="57D15719" w:rsidR="004A0C73" w:rsidRDefault="004A0C73" w:rsidP="007D3FBF">
      <w:pPr>
        <w:pStyle w:val="1BODYArial11"/>
        <w:spacing w:line="240" w:lineRule="auto"/>
        <w:rPr>
          <w:b/>
        </w:rPr>
      </w:pPr>
      <w:r w:rsidRPr="00B67E4F">
        <w:t>Title I of the Housing and Community Development Act of 1974 requires the payment of Davis-Bacon Act prevailing wage rates</w:t>
      </w:r>
      <w:r w:rsidR="002406E9">
        <w:rPr>
          <w:lang w:val="en-US"/>
        </w:rPr>
        <w:t xml:space="preserve">, </w:t>
      </w:r>
      <w:r w:rsidRPr="00B67E4F">
        <w:t>which are determined by the U.S. Department of Labor</w:t>
      </w:r>
      <w:r w:rsidR="002406E9">
        <w:rPr>
          <w:lang w:val="en-US"/>
        </w:rPr>
        <w:t xml:space="preserve">, </w:t>
      </w:r>
      <w:r w:rsidRPr="00B67E4F">
        <w:t xml:space="preserve">to all workers on </w:t>
      </w:r>
      <w:r w:rsidR="002406E9">
        <w:rPr>
          <w:lang w:val="en-US"/>
        </w:rPr>
        <w:t>Tx</w:t>
      </w:r>
      <w:r w:rsidRPr="00B67E4F">
        <w:t>CDBG construction projects in excess of $2,000</w:t>
      </w:r>
      <w:r w:rsidR="00C27270">
        <w:rPr>
          <w:lang w:val="en-US"/>
        </w:rPr>
        <w:t>.</w:t>
      </w:r>
      <w:r w:rsidR="00437B4E">
        <w:rPr>
          <w:rStyle w:val="FootnoteReference"/>
          <w:lang w:val="en-US"/>
        </w:rPr>
        <w:footnoteReference w:id="1"/>
      </w:r>
      <w:r w:rsidR="00C27270">
        <w:rPr>
          <w:lang w:val="en-US"/>
        </w:rPr>
        <w:t xml:space="preserve"> </w:t>
      </w:r>
      <w:r w:rsidRPr="00B67E4F">
        <w:t xml:space="preserve">For assistance in determining whether Davis-Bacon wage rates apply to a particular project, please see the </w:t>
      </w:r>
      <w:r w:rsidRPr="00C27270">
        <w:rPr>
          <w:i/>
          <w:iCs/>
        </w:rPr>
        <w:t>Davis-Bacon Coverage Chart</w:t>
      </w:r>
      <w:r w:rsidRPr="00B67E4F">
        <w:t xml:space="preserve"> </w:t>
      </w:r>
      <w:r w:rsidRPr="00B67E4F">
        <w:rPr>
          <w:b/>
        </w:rPr>
        <w:t>(Form A711)</w:t>
      </w:r>
      <w:r w:rsidR="00D17851">
        <w:t xml:space="preserve"> or contact TDA</w:t>
      </w:r>
      <w:r w:rsidRPr="00B67E4F">
        <w:t>.</w:t>
      </w:r>
      <w:r w:rsidR="007A50F7">
        <w:t xml:space="preserve"> </w:t>
      </w:r>
      <w:r w:rsidR="007A50F7" w:rsidRPr="00282928">
        <w:rPr>
          <w:b/>
        </w:rPr>
        <w:t>Th</w:t>
      </w:r>
      <w:r w:rsidR="00256EBC">
        <w:rPr>
          <w:b/>
        </w:rPr>
        <w:t>ese requirement</w:t>
      </w:r>
      <w:r w:rsidR="005E6340">
        <w:rPr>
          <w:b/>
        </w:rPr>
        <w:t>s</w:t>
      </w:r>
      <w:r w:rsidR="00256EBC">
        <w:rPr>
          <w:b/>
        </w:rPr>
        <w:t xml:space="preserve"> apply</w:t>
      </w:r>
      <w:r w:rsidR="007A50F7" w:rsidRPr="00282928">
        <w:rPr>
          <w:b/>
        </w:rPr>
        <w:t xml:space="preserve"> regardless of whether or not the contract was acquired through the</w:t>
      </w:r>
      <w:r w:rsidR="00723304">
        <w:rPr>
          <w:b/>
        </w:rPr>
        <w:t xml:space="preserve"> sealed</w:t>
      </w:r>
      <w:r w:rsidR="007A50F7" w:rsidRPr="00282928">
        <w:rPr>
          <w:b/>
        </w:rPr>
        <w:t xml:space="preserve"> bid</w:t>
      </w:r>
      <w:r w:rsidR="00444935">
        <w:rPr>
          <w:b/>
        </w:rPr>
        <w:t>,</w:t>
      </w:r>
      <w:r w:rsidR="00723304">
        <w:rPr>
          <w:b/>
        </w:rPr>
        <w:t xml:space="preserve"> small purchase</w:t>
      </w:r>
      <w:r w:rsidR="00444935">
        <w:rPr>
          <w:b/>
        </w:rPr>
        <w:t>, or non-competitive proposals (sole source)</w:t>
      </w:r>
      <w:r w:rsidR="00723304">
        <w:rPr>
          <w:b/>
        </w:rPr>
        <w:t xml:space="preserve"> procurement process</w:t>
      </w:r>
      <w:r w:rsidR="008F0D11">
        <w:rPr>
          <w:b/>
        </w:rPr>
        <w:t xml:space="preserve">. </w:t>
      </w:r>
    </w:p>
    <w:p w14:paraId="0A1BD162" w14:textId="77777777" w:rsidR="00C27270" w:rsidRDefault="00C27270" w:rsidP="007D3FBF">
      <w:pPr>
        <w:pStyle w:val="1BODYArial11"/>
        <w:spacing w:line="240" w:lineRule="auto"/>
        <w:rPr>
          <w:b/>
        </w:rPr>
      </w:pPr>
    </w:p>
    <w:p w14:paraId="2581E35B" w14:textId="77777777" w:rsidR="002A292D" w:rsidRDefault="00C27270" w:rsidP="007D3FBF">
      <w:pPr>
        <w:pStyle w:val="1BODYArial11"/>
        <w:spacing w:line="240" w:lineRule="auto"/>
      </w:pPr>
      <w:r w:rsidRPr="00ED0017">
        <w:t xml:space="preserve">Even if </w:t>
      </w:r>
      <w:r w:rsidR="005F3FEF" w:rsidRPr="00ED0017">
        <w:t>Tx</w:t>
      </w:r>
      <w:r w:rsidRPr="00ED0017">
        <w:t xml:space="preserve">CDBG funds finance only a portion of a construction contract, Davis-Bacon requirements still apply to the </w:t>
      </w:r>
      <w:r w:rsidRPr="00ED0017">
        <w:rPr>
          <w:b/>
          <w:bCs/>
          <w:u w:val="single"/>
        </w:rPr>
        <w:t>entire</w:t>
      </w:r>
      <w:r w:rsidRPr="00ED0017">
        <w:t xml:space="preserve"> construction contract.</w:t>
      </w:r>
      <w:r w:rsidR="00ED0017" w:rsidRPr="00ED0017">
        <w:t xml:space="preserve"> </w:t>
      </w:r>
    </w:p>
    <w:p w14:paraId="11C3AA0A" w14:textId="77777777" w:rsidR="002A292D" w:rsidRDefault="002A292D" w:rsidP="007D3FBF">
      <w:pPr>
        <w:pStyle w:val="1BODYArial11"/>
        <w:spacing w:line="240" w:lineRule="auto"/>
      </w:pPr>
    </w:p>
    <w:p w14:paraId="683C431D" w14:textId="02FBD269" w:rsidR="000F7A50" w:rsidRPr="00ED0017" w:rsidRDefault="00ED0017" w:rsidP="007D3FBF">
      <w:pPr>
        <w:pStyle w:val="1BODYArial11"/>
        <w:spacing w:line="240" w:lineRule="auto"/>
      </w:pPr>
      <w:r w:rsidRPr="00773837">
        <w:rPr>
          <w:b/>
          <w:bCs/>
        </w:rPr>
        <w:t>EXAMPLE</w:t>
      </w:r>
      <w:r w:rsidR="000F7A50" w:rsidRPr="00ED0017">
        <w:t xml:space="preserve">: </w:t>
      </w:r>
      <w:r w:rsidRPr="00ED0017">
        <w:t>I</w:t>
      </w:r>
      <w:r w:rsidR="000F7A50" w:rsidRPr="00ED0017">
        <w:t>f a construction contract includes $1</w:t>
      </w:r>
      <w:r w:rsidR="00437B4E">
        <w:rPr>
          <w:lang w:val="en-US"/>
        </w:rPr>
        <w:t>.00</w:t>
      </w:r>
      <w:r w:rsidR="000F7A50" w:rsidRPr="00ED0017">
        <w:t xml:space="preserve"> of work funded through TxCDBG grant funds, and $100,000 in similar work funded through local funds and not included in the grant description, Davis-Bacon requirements apply to the entire $100,001 contract.</w:t>
      </w:r>
    </w:p>
    <w:p w14:paraId="6AE7974F" w14:textId="77777777" w:rsidR="004A0C73" w:rsidRPr="00B67E4F" w:rsidRDefault="004A0C73" w:rsidP="007D3FBF">
      <w:pPr>
        <w:pStyle w:val="1BODYArial11"/>
        <w:spacing w:line="240" w:lineRule="auto"/>
      </w:pPr>
    </w:p>
    <w:p w14:paraId="47F6BB75" w14:textId="77777777" w:rsidR="002A292D" w:rsidRDefault="004A0C73" w:rsidP="007D3FBF">
      <w:pPr>
        <w:pStyle w:val="1BODYArial11"/>
        <w:spacing w:line="240" w:lineRule="auto"/>
      </w:pPr>
      <w:r w:rsidRPr="00B67E4F">
        <w:t xml:space="preserve">Activities financed by </w:t>
      </w:r>
      <w:r w:rsidR="002406E9">
        <w:rPr>
          <w:lang w:val="en-US"/>
        </w:rPr>
        <w:t>Tx</w:t>
      </w:r>
      <w:r w:rsidRPr="00B67E4F">
        <w:t xml:space="preserve">CDBG that are </w:t>
      </w:r>
      <w:r w:rsidRPr="000F7A50">
        <w:t xml:space="preserve">not </w:t>
      </w:r>
      <w:r w:rsidRPr="00ED0017">
        <w:t>construction work</w:t>
      </w:r>
      <w:r w:rsidRPr="000F7A50">
        <w:t xml:space="preserve"> do</w:t>
      </w:r>
      <w:r w:rsidRPr="00B67E4F">
        <w:t xml:space="preserve"> not trigger Davis-Bacon requirements</w:t>
      </w:r>
      <w:r w:rsidR="00C27270">
        <w:rPr>
          <w:lang w:val="en-US"/>
        </w:rPr>
        <w:t>.</w:t>
      </w:r>
      <w:r w:rsidRPr="00B67E4F">
        <w:t xml:space="preserve"> </w:t>
      </w:r>
    </w:p>
    <w:p w14:paraId="27EFD231" w14:textId="77777777" w:rsidR="002A292D" w:rsidRDefault="002A292D" w:rsidP="007D3FBF">
      <w:pPr>
        <w:pStyle w:val="1BODYArial11"/>
        <w:spacing w:line="240" w:lineRule="auto"/>
      </w:pPr>
    </w:p>
    <w:p w14:paraId="51A4A17E" w14:textId="5F8261D3" w:rsidR="004A0C73" w:rsidRPr="00B67E4F" w:rsidRDefault="00C27270" w:rsidP="007D3FBF">
      <w:pPr>
        <w:pStyle w:val="1BODYArial11"/>
        <w:spacing w:line="240" w:lineRule="auto"/>
      </w:pPr>
      <w:r w:rsidRPr="00C27270">
        <w:rPr>
          <w:b/>
          <w:bCs/>
          <w:lang w:val="en-US"/>
        </w:rPr>
        <w:t>EXAMPLE:</w:t>
      </w:r>
      <w:r>
        <w:rPr>
          <w:lang w:val="en-US"/>
        </w:rPr>
        <w:t xml:space="preserve"> </w:t>
      </w:r>
      <w:r w:rsidR="004A0C73" w:rsidRPr="00B67E4F">
        <w:t xml:space="preserve"> </w:t>
      </w:r>
    </w:p>
    <w:p w14:paraId="33D438EA" w14:textId="77777777" w:rsidR="004A0C73" w:rsidRPr="00B67E4F" w:rsidRDefault="00B1286A" w:rsidP="007D3FBF">
      <w:pPr>
        <w:numPr>
          <w:ilvl w:val="0"/>
          <w:numId w:val="2"/>
        </w:numPr>
        <w:jc w:val="both"/>
        <w:rPr>
          <w:rFonts w:cs="Arial"/>
          <w:szCs w:val="22"/>
        </w:rPr>
      </w:pPr>
      <w:r>
        <w:rPr>
          <w:rFonts w:cs="Arial"/>
          <w:szCs w:val="22"/>
        </w:rPr>
        <w:t>R</w:t>
      </w:r>
      <w:r w:rsidR="004A0C73" w:rsidRPr="00B67E4F">
        <w:rPr>
          <w:rFonts w:cs="Arial"/>
          <w:szCs w:val="22"/>
        </w:rPr>
        <w:t xml:space="preserve">eal property </w:t>
      </w:r>
      <w:proofErr w:type="gramStart"/>
      <w:r w:rsidR="004A0C73" w:rsidRPr="00B67E4F">
        <w:rPr>
          <w:rFonts w:cs="Arial"/>
          <w:szCs w:val="22"/>
        </w:rPr>
        <w:t>acquisition;</w:t>
      </w:r>
      <w:proofErr w:type="gramEnd"/>
      <w:r w:rsidR="004A0C73" w:rsidRPr="00B67E4F">
        <w:rPr>
          <w:rFonts w:cs="Arial"/>
          <w:szCs w:val="22"/>
        </w:rPr>
        <w:t xml:space="preserve"> </w:t>
      </w:r>
    </w:p>
    <w:p w14:paraId="6F983030" w14:textId="77777777" w:rsidR="004A0C73" w:rsidRPr="00B67E4F" w:rsidRDefault="00B1286A" w:rsidP="007D3FBF">
      <w:pPr>
        <w:numPr>
          <w:ilvl w:val="0"/>
          <w:numId w:val="2"/>
        </w:numPr>
        <w:jc w:val="both"/>
        <w:rPr>
          <w:rFonts w:cs="Arial"/>
          <w:szCs w:val="22"/>
        </w:rPr>
      </w:pPr>
      <w:r>
        <w:rPr>
          <w:rFonts w:cs="Arial"/>
          <w:szCs w:val="22"/>
        </w:rPr>
        <w:t>A</w:t>
      </w:r>
      <w:r w:rsidR="004A0C73" w:rsidRPr="00B67E4F">
        <w:rPr>
          <w:rFonts w:cs="Arial"/>
          <w:szCs w:val="22"/>
        </w:rPr>
        <w:t xml:space="preserve">rchitectural and engineering </w:t>
      </w:r>
      <w:proofErr w:type="gramStart"/>
      <w:r w:rsidR="004A0C73" w:rsidRPr="00B67E4F">
        <w:rPr>
          <w:rFonts w:cs="Arial"/>
          <w:szCs w:val="22"/>
        </w:rPr>
        <w:t>fees;</w:t>
      </w:r>
      <w:proofErr w:type="gramEnd"/>
    </w:p>
    <w:p w14:paraId="3C7D90B5" w14:textId="19B79C24" w:rsidR="004A0C73" w:rsidRPr="00B67E4F" w:rsidRDefault="00B1286A" w:rsidP="007D3FBF">
      <w:pPr>
        <w:numPr>
          <w:ilvl w:val="0"/>
          <w:numId w:val="2"/>
        </w:numPr>
        <w:jc w:val="both"/>
        <w:rPr>
          <w:rFonts w:cs="Arial"/>
          <w:szCs w:val="22"/>
        </w:rPr>
      </w:pPr>
      <w:r>
        <w:rPr>
          <w:rFonts w:cs="Arial"/>
          <w:szCs w:val="22"/>
        </w:rPr>
        <w:t>O</w:t>
      </w:r>
      <w:r w:rsidR="004A0C73" w:rsidRPr="00B67E4F">
        <w:rPr>
          <w:rFonts w:cs="Arial"/>
          <w:szCs w:val="22"/>
        </w:rPr>
        <w:t xml:space="preserve">ther </w:t>
      </w:r>
      <w:r>
        <w:rPr>
          <w:rFonts w:cs="Arial"/>
          <w:szCs w:val="22"/>
        </w:rPr>
        <w:t xml:space="preserve">professional </w:t>
      </w:r>
      <w:r w:rsidR="004A0C73" w:rsidRPr="00B67E4F">
        <w:rPr>
          <w:rFonts w:cs="Arial"/>
          <w:szCs w:val="22"/>
        </w:rPr>
        <w:t>services</w:t>
      </w:r>
      <w:r w:rsidR="00C27270">
        <w:rPr>
          <w:rFonts w:cs="Arial"/>
          <w:szCs w:val="22"/>
        </w:rPr>
        <w:t>, such as l</w:t>
      </w:r>
      <w:r w:rsidR="004A0C73" w:rsidRPr="00B67E4F">
        <w:rPr>
          <w:rFonts w:cs="Arial"/>
          <w:szCs w:val="22"/>
        </w:rPr>
        <w:t>egal, accounting,</w:t>
      </w:r>
      <w:r w:rsidR="00723304">
        <w:rPr>
          <w:rFonts w:cs="Arial"/>
          <w:szCs w:val="22"/>
        </w:rPr>
        <w:t xml:space="preserve"> testing</w:t>
      </w:r>
      <w:r w:rsidR="007D3FBF">
        <w:rPr>
          <w:rFonts w:cs="Arial"/>
          <w:b/>
          <w:szCs w:val="22"/>
        </w:rPr>
        <w:t xml:space="preserve"> </w:t>
      </w:r>
      <w:r w:rsidR="007D3FBF" w:rsidRPr="007D3FBF">
        <w:rPr>
          <w:rFonts w:cs="Arial"/>
          <w:bCs/>
          <w:szCs w:val="22"/>
        </w:rPr>
        <w:t xml:space="preserve">(see below </w:t>
      </w:r>
      <w:r w:rsidR="007D3FBF">
        <w:rPr>
          <w:rFonts w:cs="Arial"/>
          <w:b/>
          <w:szCs w:val="22"/>
        </w:rPr>
        <w:t>NOTE</w:t>
      </w:r>
      <w:r w:rsidR="007D3FBF" w:rsidRPr="007D3FBF">
        <w:rPr>
          <w:rFonts w:cs="Arial"/>
          <w:bCs/>
          <w:szCs w:val="22"/>
        </w:rPr>
        <w:t>)</w:t>
      </w:r>
      <w:r w:rsidR="004A0C73" w:rsidRPr="00B67E4F">
        <w:rPr>
          <w:rFonts w:cs="Arial"/>
          <w:szCs w:val="22"/>
        </w:rPr>
        <w:t>; and</w:t>
      </w:r>
    </w:p>
    <w:p w14:paraId="38253F8E" w14:textId="77777777" w:rsidR="004A0C73" w:rsidRPr="00B67E4F" w:rsidRDefault="00B1286A" w:rsidP="007D3FBF">
      <w:pPr>
        <w:numPr>
          <w:ilvl w:val="0"/>
          <w:numId w:val="2"/>
        </w:numPr>
        <w:jc w:val="both"/>
        <w:rPr>
          <w:rFonts w:cs="Arial"/>
          <w:szCs w:val="22"/>
        </w:rPr>
      </w:pPr>
      <w:r>
        <w:rPr>
          <w:rFonts w:cs="Arial"/>
          <w:szCs w:val="22"/>
        </w:rPr>
        <w:t>O</w:t>
      </w:r>
      <w:r w:rsidR="004A0C73" w:rsidRPr="00B67E4F">
        <w:rPr>
          <w:rFonts w:cs="Arial"/>
          <w:szCs w:val="22"/>
        </w:rPr>
        <w:t>ther non-construction items</w:t>
      </w:r>
      <w:r w:rsidR="00C27270">
        <w:rPr>
          <w:rFonts w:cs="Arial"/>
          <w:szCs w:val="22"/>
        </w:rPr>
        <w:t xml:space="preserve">, such as </w:t>
      </w:r>
      <w:r w:rsidR="004A0C73" w:rsidRPr="00B67E4F">
        <w:rPr>
          <w:rFonts w:cs="Arial"/>
          <w:szCs w:val="22"/>
        </w:rPr>
        <w:t>furniture, business licenses, real estate taxes</w:t>
      </w:r>
      <w:r w:rsidR="00C27270">
        <w:rPr>
          <w:rFonts w:cs="Arial"/>
          <w:szCs w:val="22"/>
        </w:rPr>
        <w:t>.</w:t>
      </w:r>
    </w:p>
    <w:p w14:paraId="0803EF39" w14:textId="77777777" w:rsidR="00803DED" w:rsidRPr="00282928" w:rsidRDefault="00803DED" w:rsidP="007D3FBF">
      <w:pPr>
        <w:ind w:left="720"/>
        <w:jc w:val="both"/>
        <w:rPr>
          <w:rFonts w:cs="Arial"/>
          <w:b/>
          <w:szCs w:val="22"/>
        </w:rPr>
      </w:pPr>
    </w:p>
    <w:p w14:paraId="19FD1FDF" w14:textId="77777777" w:rsidR="00856D95" w:rsidRDefault="00C27270" w:rsidP="007D3FBF">
      <w:pPr>
        <w:pStyle w:val="1BODYArial11"/>
        <w:spacing w:line="240" w:lineRule="auto"/>
      </w:pPr>
      <w:r>
        <w:rPr>
          <w:b/>
        </w:rPr>
        <w:t xml:space="preserve">NOTE: </w:t>
      </w:r>
      <w:r w:rsidR="00B7681B" w:rsidRPr="003C7114">
        <w:t xml:space="preserve">Drilling a test well </w:t>
      </w:r>
      <w:r w:rsidR="00B7681B" w:rsidRPr="003C7114">
        <w:rPr>
          <w:bCs/>
        </w:rPr>
        <w:t>can be</w:t>
      </w:r>
      <w:r w:rsidR="00B7681B" w:rsidRPr="003C7114">
        <w:t xml:space="preserve"> considered either a </w:t>
      </w:r>
      <w:r w:rsidR="00B7681B" w:rsidRPr="003C7114">
        <w:rPr>
          <w:bCs/>
        </w:rPr>
        <w:t>component of</w:t>
      </w:r>
      <w:r w:rsidR="00B7681B" w:rsidRPr="003C7114">
        <w:t xml:space="preserve"> </w:t>
      </w:r>
      <w:r w:rsidR="004313D3" w:rsidRPr="003C7114">
        <w:t>construction</w:t>
      </w:r>
      <w:r w:rsidR="00B7681B" w:rsidRPr="003C7114">
        <w:t xml:space="preserve"> </w:t>
      </w:r>
      <w:r w:rsidR="00B7681B" w:rsidRPr="003C7114">
        <w:rPr>
          <w:bCs/>
        </w:rPr>
        <w:t>or a professional service</w:t>
      </w:r>
      <w:r w:rsidR="00B7681B" w:rsidRPr="003C7114">
        <w:t xml:space="preserve">. </w:t>
      </w:r>
      <w:r w:rsidR="00B7681B" w:rsidRPr="003C7114">
        <w:rPr>
          <w:bCs/>
        </w:rPr>
        <w:t>To determine if Davis-Bacon applies to a test well,</w:t>
      </w:r>
      <w:r w:rsidR="00B7681B" w:rsidRPr="003C7114">
        <w:t xml:space="preserve"> please refer to DOL Field Operations handbook, 15d05, for additional guidance</w:t>
      </w:r>
      <w:r w:rsidR="000F7A50">
        <w:rPr>
          <w:lang w:val="en-US"/>
        </w:rPr>
        <w:t xml:space="preserve"> and contact </w:t>
      </w:r>
      <w:r w:rsidR="006468EE">
        <w:rPr>
          <w:lang w:val="en-US"/>
        </w:rPr>
        <w:t>TDA staff</w:t>
      </w:r>
      <w:r w:rsidR="00B7681B" w:rsidRPr="003C7114">
        <w:t>.</w:t>
      </w:r>
    </w:p>
    <w:p w14:paraId="30D4E32E" w14:textId="77777777" w:rsidR="003F143C" w:rsidRPr="002F6969" w:rsidRDefault="003F143C" w:rsidP="007D3FBF"/>
    <w:p w14:paraId="3E30D059" w14:textId="77777777" w:rsidR="00BD31E2" w:rsidRPr="00BD31E2" w:rsidRDefault="00BD31E2" w:rsidP="007D3FBF"/>
    <w:p w14:paraId="71B5B142" w14:textId="77777777" w:rsidR="005A559C" w:rsidRPr="00056689" w:rsidRDefault="005A559C" w:rsidP="007D3FBF">
      <w:pPr>
        <w:pStyle w:val="Heading1"/>
      </w:pPr>
      <w:bookmarkStart w:id="2" w:name="_Toc123112450"/>
      <w:bookmarkStart w:id="3" w:name="_Toc123207970"/>
      <w:r w:rsidRPr="00056689">
        <w:t>7.1 Objectives of Davis-Bacon</w:t>
      </w:r>
      <w:bookmarkEnd w:id="2"/>
      <w:bookmarkEnd w:id="3"/>
    </w:p>
    <w:p w14:paraId="625E2364" w14:textId="77777777" w:rsidR="005A559C" w:rsidRPr="00B67E4F" w:rsidRDefault="005A559C" w:rsidP="007D3FBF"/>
    <w:p w14:paraId="50809B41" w14:textId="77777777" w:rsidR="005A559C" w:rsidRDefault="005A559C" w:rsidP="007D3FBF">
      <w:pPr>
        <w:pStyle w:val="1BODYArial11"/>
        <w:spacing w:line="240" w:lineRule="auto"/>
      </w:pPr>
      <w:r w:rsidRPr="00B67E4F">
        <w:t xml:space="preserve">The following five key labor standard objectives must be accomplished by the Grant Recipient and/or </w:t>
      </w:r>
      <w:r w:rsidR="004A4249">
        <w:rPr>
          <w:lang w:val="en-US"/>
        </w:rPr>
        <w:t>TDA</w:t>
      </w:r>
      <w:r w:rsidR="004A4249" w:rsidRPr="00B67E4F">
        <w:t xml:space="preserve"> </w:t>
      </w:r>
      <w:r w:rsidRPr="00B67E4F">
        <w:t>in order to administer and enforce Davis-Bacon requirement</w:t>
      </w:r>
      <w:r w:rsidR="006968E6">
        <w:t xml:space="preserve">s and protect workers’ rights. </w:t>
      </w:r>
    </w:p>
    <w:p w14:paraId="18C6E615" w14:textId="5CF8D406" w:rsidR="005A559C" w:rsidRPr="00B67E4F" w:rsidRDefault="005A559C" w:rsidP="007D3FBF">
      <w:pPr>
        <w:jc w:val="both"/>
        <w:rPr>
          <w:rFonts w:cs="Arial"/>
          <w:b/>
          <w:szCs w:val="22"/>
        </w:rPr>
      </w:pPr>
      <w:r w:rsidRPr="00B67E4F">
        <w:rPr>
          <w:rFonts w:cs="Arial"/>
          <w:b/>
          <w:szCs w:val="22"/>
        </w:rPr>
        <w:t>Objectives for Davis-Bacon Labor Standards Compliance</w:t>
      </w:r>
      <w:r w:rsidR="00426DF0">
        <w:rPr>
          <w:rFonts w:cs="Arial"/>
          <w:b/>
          <w:szCs w:val="22"/>
        </w:rPr>
        <w:t>:</w:t>
      </w:r>
    </w:p>
    <w:p w14:paraId="21757BA3" w14:textId="77777777" w:rsidR="005A559C" w:rsidRPr="007279B1" w:rsidRDefault="005A559C" w:rsidP="007D3FBF">
      <w:pPr>
        <w:pStyle w:val="2BULLETArial11"/>
        <w:numPr>
          <w:ilvl w:val="0"/>
          <w:numId w:val="4"/>
        </w:numPr>
        <w:spacing w:line="240" w:lineRule="auto"/>
      </w:pPr>
      <w:r w:rsidRPr="007279B1">
        <w:t xml:space="preserve">Apply Davis-Bacon requirements </w:t>
      </w:r>
      <w:proofErr w:type="gramStart"/>
      <w:r w:rsidRPr="007279B1">
        <w:t>properly</w:t>
      </w:r>
      <w:r w:rsidR="00236E5C">
        <w:t>;</w:t>
      </w:r>
      <w:proofErr w:type="gramEnd"/>
    </w:p>
    <w:p w14:paraId="3314E50C" w14:textId="77777777" w:rsidR="005A559C" w:rsidRPr="007279B1" w:rsidRDefault="005A559C" w:rsidP="007D3FBF">
      <w:pPr>
        <w:pStyle w:val="2BULLETArial11"/>
        <w:numPr>
          <w:ilvl w:val="0"/>
          <w:numId w:val="4"/>
        </w:numPr>
        <w:spacing w:line="240" w:lineRule="auto"/>
      </w:pPr>
      <w:r w:rsidRPr="007279B1">
        <w:t xml:space="preserve">Support Grant Recipient compliance with labor standards through education and </w:t>
      </w:r>
      <w:r w:rsidR="00005D91">
        <w:t xml:space="preserve">technical </w:t>
      </w:r>
      <w:proofErr w:type="gramStart"/>
      <w:r w:rsidR="00005D91">
        <w:t>assistance</w:t>
      </w:r>
      <w:r w:rsidR="00236E5C">
        <w:t>;</w:t>
      </w:r>
      <w:proofErr w:type="gramEnd"/>
    </w:p>
    <w:p w14:paraId="43A3C61D" w14:textId="77777777" w:rsidR="004D6F68" w:rsidRPr="007279B1" w:rsidRDefault="005A559C" w:rsidP="007D3FBF">
      <w:pPr>
        <w:pStyle w:val="2BULLETArial11"/>
        <w:numPr>
          <w:ilvl w:val="0"/>
          <w:numId w:val="4"/>
        </w:numPr>
        <w:spacing w:line="240" w:lineRule="auto"/>
      </w:pPr>
      <w:r w:rsidRPr="007279B1">
        <w:t xml:space="preserve">Monitor Grant Recipient </w:t>
      </w:r>
      <w:proofErr w:type="gramStart"/>
      <w:r w:rsidRPr="007279B1">
        <w:t>performance</w:t>
      </w:r>
      <w:r w:rsidR="00236E5C">
        <w:t>;</w:t>
      </w:r>
      <w:proofErr w:type="gramEnd"/>
    </w:p>
    <w:p w14:paraId="7CF42EAF" w14:textId="77777777" w:rsidR="005A559C" w:rsidRPr="007279B1" w:rsidRDefault="005A559C" w:rsidP="007D3FBF">
      <w:pPr>
        <w:pStyle w:val="2BULLETArial11"/>
        <w:numPr>
          <w:ilvl w:val="0"/>
          <w:numId w:val="4"/>
        </w:numPr>
        <w:spacing w:line="240" w:lineRule="auto"/>
      </w:pPr>
      <w:r w:rsidRPr="007279B1">
        <w:t>Investigate probable violations and complaints of underpayment</w:t>
      </w:r>
      <w:r w:rsidR="00236E5C">
        <w:t>; and</w:t>
      </w:r>
    </w:p>
    <w:p w14:paraId="3EAFDBD9" w14:textId="77777777" w:rsidR="006D7F8A" w:rsidRPr="008216BF" w:rsidRDefault="005A559C" w:rsidP="007D3FBF">
      <w:pPr>
        <w:pStyle w:val="2BULLETArial11"/>
        <w:numPr>
          <w:ilvl w:val="0"/>
          <w:numId w:val="4"/>
        </w:numPr>
        <w:spacing w:line="240" w:lineRule="auto"/>
      </w:pPr>
      <w:r w:rsidRPr="007279B1">
        <w:t>Pursue debarment and other available sanctions against repeat labor standards violators.</w:t>
      </w:r>
    </w:p>
    <w:p w14:paraId="642E0816" w14:textId="77777777" w:rsidR="00437B4E" w:rsidRDefault="00437B4E" w:rsidP="007D3FBF">
      <w:pPr>
        <w:pStyle w:val="1BODYArial11"/>
        <w:spacing w:line="240" w:lineRule="auto"/>
      </w:pPr>
    </w:p>
    <w:p w14:paraId="7B91D970" w14:textId="15074635" w:rsidR="00533BED" w:rsidRDefault="005A559C" w:rsidP="007D3FBF">
      <w:pPr>
        <w:pStyle w:val="1BODYArial11"/>
        <w:spacing w:line="240" w:lineRule="auto"/>
      </w:pPr>
      <w:r w:rsidRPr="00C86A9A">
        <w:t xml:space="preserve">By executing the TxCDBG </w:t>
      </w:r>
      <w:r w:rsidR="00437B4E">
        <w:rPr>
          <w:lang w:val="en-US"/>
        </w:rPr>
        <w:t>grant agreement</w:t>
      </w:r>
      <w:r w:rsidRPr="00C86A9A">
        <w:t>, Grant Recipients have agreed to administer and enforce Davis-Bacon requirements and have accepted the responsibilities</w:t>
      </w:r>
      <w:r w:rsidR="002E1DCF" w:rsidRPr="00C86A9A">
        <w:t xml:space="preserve"> </w:t>
      </w:r>
      <w:r w:rsidRPr="00C86A9A">
        <w:t>described in this chapter.</w:t>
      </w:r>
    </w:p>
    <w:p w14:paraId="254F9413" w14:textId="77777777" w:rsidR="00DC77C3" w:rsidRPr="002F6969" w:rsidRDefault="00DC77C3" w:rsidP="007D3FBF">
      <w:pPr>
        <w:rPr>
          <w:rFonts w:cs="Arial"/>
          <w:szCs w:val="22"/>
        </w:rPr>
      </w:pPr>
    </w:p>
    <w:p w14:paraId="78F07670" w14:textId="77777777" w:rsidR="00BD31E2" w:rsidRPr="002F6969" w:rsidRDefault="00BD31E2" w:rsidP="007D3FBF">
      <w:pPr>
        <w:rPr>
          <w:rFonts w:cs="Arial"/>
          <w:szCs w:val="22"/>
        </w:rPr>
      </w:pPr>
    </w:p>
    <w:p w14:paraId="3BFCA937" w14:textId="77777777" w:rsidR="005A559C" w:rsidRPr="00B67E4F" w:rsidRDefault="005A559C" w:rsidP="007D3FBF">
      <w:pPr>
        <w:pStyle w:val="Heading1"/>
      </w:pPr>
      <w:bookmarkStart w:id="4" w:name="_Toc123112451"/>
      <w:bookmarkStart w:id="5" w:name="_Toc123207971"/>
      <w:r w:rsidRPr="00B67E4F">
        <w:t>7.2 Procedures for Labor Standards Compliance</w:t>
      </w:r>
      <w:bookmarkEnd w:id="4"/>
      <w:bookmarkEnd w:id="5"/>
    </w:p>
    <w:p w14:paraId="66F466A3" w14:textId="77777777" w:rsidR="00503182" w:rsidRDefault="00503182" w:rsidP="007D3FBF">
      <w:pPr>
        <w:pStyle w:val="BodyText3"/>
        <w:jc w:val="both"/>
        <w:rPr>
          <w:sz w:val="22"/>
          <w:szCs w:val="22"/>
        </w:rPr>
      </w:pPr>
    </w:p>
    <w:p w14:paraId="49127C3E" w14:textId="77777777" w:rsidR="00F12537" w:rsidRPr="00B67E4F" w:rsidRDefault="00F12537" w:rsidP="007D3FBF">
      <w:pPr>
        <w:pStyle w:val="BodyText3"/>
        <w:jc w:val="both"/>
        <w:rPr>
          <w:sz w:val="22"/>
          <w:szCs w:val="22"/>
        </w:rPr>
      </w:pPr>
      <w:r w:rsidRPr="00B67E4F">
        <w:rPr>
          <w:sz w:val="22"/>
          <w:szCs w:val="22"/>
        </w:rPr>
        <w:t xml:space="preserve">A construction project covered by Federal labor standards requires a series of specific actions by labor </w:t>
      </w:r>
      <w:r w:rsidRPr="000F7A50">
        <w:rPr>
          <w:sz w:val="22"/>
          <w:szCs w:val="22"/>
        </w:rPr>
        <w:t xml:space="preserve">standards personnel </w:t>
      </w:r>
      <w:r w:rsidRPr="00F23A34">
        <w:rPr>
          <w:sz w:val="22"/>
          <w:szCs w:val="22"/>
        </w:rPr>
        <w:t>prior to the actual start of construction</w:t>
      </w:r>
      <w:r w:rsidRPr="000F7A50">
        <w:rPr>
          <w:sz w:val="22"/>
          <w:szCs w:val="22"/>
        </w:rPr>
        <w:t>.</w:t>
      </w:r>
      <w:r w:rsidRPr="00B67E4F">
        <w:rPr>
          <w:sz w:val="22"/>
          <w:szCs w:val="22"/>
        </w:rPr>
        <w:t xml:space="preserve">  </w:t>
      </w:r>
    </w:p>
    <w:p w14:paraId="6535281E" w14:textId="77777777" w:rsidR="00F12537" w:rsidRPr="00B67E4F" w:rsidRDefault="00F12537" w:rsidP="007D3FBF"/>
    <w:p w14:paraId="4350FFAF" w14:textId="77777777" w:rsidR="00F12537" w:rsidRPr="00503182" w:rsidRDefault="00503182" w:rsidP="007D3FBF">
      <w:pPr>
        <w:pStyle w:val="1BODYArial11"/>
        <w:spacing w:line="240" w:lineRule="auto"/>
        <w:rPr>
          <w:b/>
          <w:bCs/>
        </w:rPr>
      </w:pPr>
      <w:r>
        <w:rPr>
          <w:b/>
          <w:bCs/>
          <w:lang w:val="en-US"/>
        </w:rPr>
        <w:t>Step</w:t>
      </w:r>
      <w:r w:rsidR="00F12537" w:rsidRPr="00503182">
        <w:rPr>
          <w:b/>
          <w:bCs/>
        </w:rPr>
        <w:t xml:space="preserve"> 1</w:t>
      </w:r>
      <w:r w:rsidR="006B71F0">
        <w:rPr>
          <w:b/>
          <w:bCs/>
          <w:lang w:val="en-US"/>
        </w:rPr>
        <w:t xml:space="preserve">. </w:t>
      </w:r>
      <w:r w:rsidR="00F12537" w:rsidRPr="00503182">
        <w:rPr>
          <w:b/>
          <w:bCs/>
        </w:rPr>
        <w:t>Designate a</w:t>
      </w:r>
      <w:r>
        <w:rPr>
          <w:b/>
          <w:bCs/>
          <w:lang w:val="en-US"/>
        </w:rPr>
        <w:t xml:space="preserve"> Labor Standards Officer </w:t>
      </w:r>
      <w:r w:rsidR="00F12537" w:rsidRPr="00503182">
        <w:rPr>
          <w:b/>
          <w:bCs/>
        </w:rPr>
        <w:t xml:space="preserve">for the </w:t>
      </w:r>
      <w:r w:rsidR="008D33F3">
        <w:rPr>
          <w:b/>
          <w:bCs/>
          <w:lang w:val="en-US"/>
        </w:rPr>
        <w:t>P</w:t>
      </w:r>
      <w:proofErr w:type="spellStart"/>
      <w:r w:rsidR="00F12537" w:rsidRPr="00503182">
        <w:rPr>
          <w:b/>
          <w:bCs/>
        </w:rPr>
        <w:t>roject</w:t>
      </w:r>
      <w:proofErr w:type="spellEnd"/>
    </w:p>
    <w:p w14:paraId="156DAEEC" w14:textId="12B6AA6C" w:rsidR="00F12537" w:rsidRPr="004300D2" w:rsidRDefault="000F7A50" w:rsidP="007D3FBF">
      <w:pPr>
        <w:pStyle w:val="1BODYArial11"/>
        <w:spacing w:line="240" w:lineRule="auto"/>
        <w:rPr>
          <w:i/>
        </w:rPr>
      </w:pPr>
      <w:r>
        <w:rPr>
          <w:lang w:val="en-US"/>
        </w:rPr>
        <w:t xml:space="preserve">Identify the Labor Standards Officer </w:t>
      </w:r>
      <w:r w:rsidR="002F6969">
        <w:rPr>
          <w:lang w:val="en-US"/>
        </w:rPr>
        <w:t xml:space="preserve">(LSO) </w:t>
      </w:r>
      <w:r>
        <w:rPr>
          <w:lang w:val="en-US"/>
        </w:rPr>
        <w:t xml:space="preserve">on the TDA-GO </w:t>
      </w:r>
      <w:r w:rsidR="00B71938" w:rsidRPr="009C1057">
        <w:rPr>
          <w:i/>
          <w:iCs/>
          <w:lang w:val="en-US"/>
        </w:rPr>
        <w:t xml:space="preserve">Grant Overview </w:t>
      </w:r>
      <w:r w:rsidR="00522A1F">
        <w:rPr>
          <w:lang w:val="en-US"/>
        </w:rPr>
        <w:t>p</w:t>
      </w:r>
      <w:r w:rsidRPr="00522A1F">
        <w:rPr>
          <w:lang w:val="en-US"/>
        </w:rPr>
        <w:t>age</w:t>
      </w:r>
      <w:r>
        <w:rPr>
          <w:lang w:val="en-US"/>
        </w:rPr>
        <w:t>. The LSO must have an account within the TDA-GO</w:t>
      </w:r>
      <w:r w:rsidR="0051155A">
        <w:rPr>
          <w:lang w:val="en-US"/>
        </w:rPr>
        <w:t xml:space="preserve"> </w:t>
      </w:r>
      <w:r>
        <w:rPr>
          <w:lang w:val="en-US"/>
        </w:rPr>
        <w:t xml:space="preserve">system and must </w:t>
      </w:r>
      <w:r w:rsidR="00B71938">
        <w:rPr>
          <w:lang w:val="en-US"/>
        </w:rPr>
        <w:t xml:space="preserve">be designated by the Authorized Official </w:t>
      </w:r>
      <w:r w:rsidR="00522A1F">
        <w:rPr>
          <w:lang w:val="en-US"/>
        </w:rPr>
        <w:t xml:space="preserve">(AO) </w:t>
      </w:r>
      <w:r w:rsidR="00B71938">
        <w:rPr>
          <w:lang w:val="en-US"/>
        </w:rPr>
        <w:t>for the Grant Recipient as responsible</w:t>
      </w:r>
      <w:r>
        <w:rPr>
          <w:lang w:val="en-US"/>
        </w:rPr>
        <w:t xml:space="preserve"> for compliance with Davis-Bacon and related requirements.</w:t>
      </w:r>
    </w:p>
    <w:p w14:paraId="2BDC5F1D" w14:textId="77777777" w:rsidR="00F12537" w:rsidRPr="00B67E4F" w:rsidRDefault="00F12537" w:rsidP="007D3FBF">
      <w:pPr>
        <w:jc w:val="both"/>
        <w:rPr>
          <w:rFonts w:cs="Arial"/>
          <w:szCs w:val="22"/>
        </w:rPr>
      </w:pPr>
    </w:p>
    <w:p w14:paraId="4039AB09" w14:textId="77777777" w:rsidR="00F12537" w:rsidRPr="007F2170" w:rsidRDefault="00F12537" w:rsidP="007D3FBF">
      <w:pPr>
        <w:pStyle w:val="1BODYArial11"/>
        <w:spacing w:line="240" w:lineRule="auto"/>
        <w:rPr>
          <w:lang w:val="en-US"/>
        </w:rPr>
      </w:pPr>
      <w:r w:rsidRPr="00B67E4F">
        <w:t xml:space="preserve">The LSO is responsible for the proper administration and enforcement of the </w:t>
      </w:r>
      <w:r w:rsidR="00F23A34">
        <w:rPr>
          <w:lang w:val="en-US"/>
        </w:rPr>
        <w:t>federal</w:t>
      </w:r>
      <w:r w:rsidRPr="00B67E4F">
        <w:t xml:space="preserve"> labor standards provisions on contracts covere</w:t>
      </w:r>
      <w:r w:rsidR="006968E6">
        <w:t xml:space="preserve">d by Davis-Bacon requirements. </w:t>
      </w:r>
      <w:r w:rsidRPr="00B67E4F">
        <w:t>Tasks include</w:t>
      </w:r>
      <w:r w:rsidR="007F2170">
        <w:rPr>
          <w:lang w:val="en-US"/>
        </w:rPr>
        <w:t>:</w:t>
      </w:r>
    </w:p>
    <w:p w14:paraId="7F634764" w14:textId="1F0C5084" w:rsidR="00F12537" w:rsidRPr="00561559" w:rsidRDefault="00F32CA5" w:rsidP="007D3FBF">
      <w:pPr>
        <w:pStyle w:val="2BULLETArial11"/>
      </w:pPr>
      <w:r>
        <w:t>P</w:t>
      </w:r>
      <w:r w:rsidR="00F12537" w:rsidRPr="00561559">
        <w:t>roviding labor standards preconstruction advice and support to the Grant Recipient and other project principals</w:t>
      </w:r>
      <w:r w:rsidR="00EA3878">
        <w:t xml:space="preserve"> (for example t</w:t>
      </w:r>
      <w:r w:rsidR="00F12537" w:rsidRPr="00561559">
        <w:t>he owner, sponsor, architect</w:t>
      </w:r>
      <w:r w:rsidR="00EA3878">
        <w:t xml:space="preserve">), </w:t>
      </w:r>
      <w:r w:rsidR="00F12537" w:rsidRPr="00561559">
        <w:t>including ensuring that no prime or sub-contract is awarded to a contractor that is ineligible (i.e.</w:t>
      </w:r>
      <w:r w:rsidR="00E36C86" w:rsidRPr="00561559">
        <w:t>,</w:t>
      </w:r>
      <w:r w:rsidR="00F12537" w:rsidRPr="00561559">
        <w:t xml:space="preserve"> debarred) for federally</w:t>
      </w:r>
      <w:r w:rsidR="0044424F">
        <w:t xml:space="preserve"> </w:t>
      </w:r>
      <w:r w:rsidR="00F12537" w:rsidRPr="00561559">
        <w:t xml:space="preserve">assisted </w:t>
      </w:r>
      <w:proofErr w:type="gramStart"/>
      <w:r w:rsidR="00F12537" w:rsidRPr="00561559">
        <w:t>work;</w:t>
      </w:r>
      <w:proofErr w:type="gramEnd"/>
    </w:p>
    <w:p w14:paraId="1EB6C057" w14:textId="215C0913" w:rsidR="00F12537" w:rsidRPr="00561559" w:rsidRDefault="00F32CA5" w:rsidP="007D3FBF">
      <w:pPr>
        <w:pStyle w:val="2BULLETArial11"/>
      </w:pPr>
      <w:r>
        <w:t>P</w:t>
      </w:r>
      <w:r w:rsidR="00F12537" w:rsidRPr="00561559">
        <w:t>roviding the proper Davis-Bacon wage decision and ensuring that the wage decision and contract clauses are incorporated into the contract for construction</w:t>
      </w:r>
      <w:r w:rsidR="00B1286A" w:rsidRPr="00561559">
        <w:t xml:space="preserve"> and any sub-</w:t>
      </w:r>
      <w:proofErr w:type="gramStart"/>
      <w:r w:rsidR="00B1286A" w:rsidRPr="00561559">
        <w:t>contracts;</w:t>
      </w:r>
      <w:proofErr w:type="gramEnd"/>
      <w:r w:rsidR="00F23A34">
        <w:t xml:space="preserve"> </w:t>
      </w:r>
    </w:p>
    <w:p w14:paraId="63FD8A91" w14:textId="62D4ED79" w:rsidR="00F12537" w:rsidRPr="00561559" w:rsidRDefault="00F32CA5" w:rsidP="007D3FBF">
      <w:pPr>
        <w:pStyle w:val="2BULLETArial11"/>
      </w:pPr>
      <w:r>
        <w:t>M</w:t>
      </w:r>
      <w:r w:rsidR="00F12537" w:rsidRPr="00561559">
        <w:t>onitoring labor standards compliance by conducting interviews with construction workers at the job site, reviewing payroll reports</w:t>
      </w:r>
      <w:r w:rsidR="00EA3878">
        <w:t>,</w:t>
      </w:r>
      <w:r w:rsidR="00F12537" w:rsidRPr="00561559">
        <w:t xml:space="preserve"> and ensuring that the applicable Davis-Bacon wage decision and the Department of Labor’s </w:t>
      </w:r>
      <w:r w:rsidR="00F12537" w:rsidRPr="009C1057">
        <w:t>Notice to All Employees</w:t>
      </w:r>
      <w:r w:rsidR="00F12537" w:rsidRPr="00561559">
        <w:t xml:space="preserve"> are posted at the job site;</w:t>
      </w:r>
      <w:r w:rsidR="006C3947" w:rsidRPr="00561559">
        <w:t xml:space="preserve"> and</w:t>
      </w:r>
    </w:p>
    <w:p w14:paraId="10B9C906" w14:textId="1DA7376A" w:rsidR="00F12537" w:rsidRPr="00561559" w:rsidRDefault="00F32CA5" w:rsidP="007D3FBF">
      <w:pPr>
        <w:pStyle w:val="2BULLETArial11"/>
      </w:pPr>
      <w:r>
        <w:t>O</w:t>
      </w:r>
      <w:r w:rsidR="00F12537" w:rsidRPr="00561559">
        <w:t xml:space="preserve">verseeing any enforcement actions that may be required.  </w:t>
      </w:r>
    </w:p>
    <w:p w14:paraId="7B800207" w14:textId="77777777" w:rsidR="00F32CA5" w:rsidRDefault="00F32CA5" w:rsidP="007D3FBF">
      <w:pPr>
        <w:pStyle w:val="1BODYArial11"/>
        <w:spacing w:line="240" w:lineRule="auto"/>
      </w:pPr>
    </w:p>
    <w:p w14:paraId="4261B7AF" w14:textId="23FB51DB" w:rsidR="00F12537" w:rsidRPr="00AF4EAB" w:rsidRDefault="00F12537" w:rsidP="007D3FBF">
      <w:pPr>
        <w:pStyle w:val="1BODYArial11"/>
        <w:spacing w:line="240" w:lineRule="auto"/>
        <w:rPr>
          <w:b/>
          <w:lang w:val="en-US"/>
        </w:rPr>
      </w:pPr>
      <w:r w:rsidRPr="00B67E4F">
        <w:t xml:space="preserve">The LSO </w:t>
      </w:r>
      <w:r w:rsidR="00803DED" w:rsidRPr="00B67E4F">
        <w:t>may</w:t>
      </w:r>
      <w:r w:rsidRPr="00B67E4F">
        <w:t xml:space="preserve"> be an employee of a city or county or </w:t>
      </w:r>
      <w:r w:rsidR="00AF4EAB">
        <w:rPr>
          <w:lang w:val="en-US"/>
        </w:rPr>
        <w:t xml:space="preserve">of </w:t>
      </w:r>
      <w:r w:rsidRPr="00B67E4F">
        <w:t>a private consulting firm</w:t>
      </w:r>
      <w:r w:rsidR="006968E6">
        <w:t xml:space="preserve">. </w:t>
      </w:r>
      <w:r w:rsidR="00BC6847">
        <w:t>An LSO</w:t>
      </w:r>
      <w:r w:rsidR="00723304">
        <w:t xml:space="preserve"> is required for all grant contracts with construction activities, including those with force account approval</w:t>
      </w:r>
      <w:r w:rsidRPr="00B67E4F">
        <w:t xml:space="preserve">. </w:t>
      </w:r>
    </w:p>
    <w:p w14:paraId="39D07982" w14:textId="77777777" w:rsidR="009D4DF1" w:rsidRDefault="009D4DF1" w:rsidP="007D3FBF">
      <w:pPr>
        <w:pStyle w:val="1BODYArial11"/>
        <w:spacing w:line="240" w:lineRule="auto"/>
      </w:pPr>
    </w:p>
    <w:p w14:paraId="0DD24E44" w14:textId="3305AC09" w:rsidR="009D4DF1" w:rsidRPr="00106B10" w:rsidRDefault="00AF4EAB" w:rsidP="007D3FBF">
      <w:pPr>
        <w:pStyle w:val="1BODYArial11"/>
        <w:spacing w:line="240" w:lineRule="auto"/>
      </w:pPr>
      <w:proofErr w:type="spellStart"/>
      <w:r>
        <w:rPr>
          <w:lang w:val="en-US"/>
        </w:rPr>
        <w:t>T</w:t>
      </w:r>
      <w:r w:rsidR="009D4DF1" w:rsidRPr="00106B10">
        <w:t>he</w:t>
      </w:r>
      <w:proofErr w:type="spellEnd"/>
      <w:r w:rsidR="009D4DF1" w:rsidRPr="00106B10">
        <w:t xml:space="preserve"> </w:t>
      </w:r>
      <w:r>
        <w:rPr>
          <w:lang w:val="en-US"/>
        </w:rPr>
        <w:t xml:space="preserve">individual designated as </w:t>
      </w:r>
      <w:r w:rsidR="009D4DF1" w:rsidRPr="00106B10">
        <w:t xml:space="preserve">LSO </w:t>
      </w:r>
      <w:r>
        <w:rPr>
          <w:lang w:val="en-US"/>
        </w:rPr>
        <w:t xml:space="preserve">may </w:t>
      </w:r>
      <w:r w:rsidR="009D4DF1" w:rsidRPr="00106B10">
        <w:t xml:space="preserve">change </w:t>
      </w:r>
      <w:r w:rsidR="00BA2914" w:rsidRPr="00106B10">
        <w:t>during</w:t>
      </w:r>
      <w:r w:rsidR="009D4DF1" w:rsidRPr="00106B10">
        <w:t xml:space="preserve"> the </w:t>
      </w:r>
      <w:r>
        <w:rPr>
          <w:lang w:val="en-US"/>
        </w:rPr>
        <w:t>grant</w:t>
      </w:r>
      <w:r w:rsidRPr="00106B10">
        <w:t xml:space="preserve"> </w:t>
      </w:r>
      <w:r w:rsidR="009D4DF1" w:rsidRPr="00106B10">
        <w:t>period</w:t>
      </w:r>
      <w:r>
        <w:rPr>
          <w:lang w:val="en-US"/>
        </w:rPr>
        <w:t>; in this case</w:t>
      </w:r>
      <w:r w:rsidR="009D4DF1" w:rsidRPr="00106B10">
        <w:t xml:space="preserve"> the Grant Recipient must appoint a new LSO and </w:t>
      </w:r>
      <w:r w:rsidR="000F7A50">
        <w:rPr>
          <w:lang w:val="en-US"/>
        </w:rPr>
        <w:t>update the TDA-G</w:t>
      </w:r>
      <w:r w:rsidR="0051155A">
        <w:rPr>
          <w:lang w:val="en-US"/>
        </w:rPr>
        <w:t>O</w:t>
      </w:r>
      <w:r w:rsidR="000F7A50">
        <w:rPr>
          <w:lang w:val="en-US"/>
        </w:rPr>
        <w:t xml:space="preserve"> </w:t>
      </w:r>
      <w:r w:rsidRPr="009C1057">
        <w:rPr>
          <w:i/>
          <w:iCs/>
          <w:lang w:val="en-US"/>
        </w:rPr>
        <w:t>Grant Overview</w:t>
      </w:r>
      <w:r>
        <w:rPr>
          <w:lang w:val="en-US"/>
        </w:rPr>
        <w:t xml:space="preserve"> </w:t>
      </w:r>
      <w:r w:rsidR="006B7852">
        <w:rPr>
          <w:lang w:val="en-US"/>
        </w:rPr>
        <w:t>p</w:t>
      </w:r>
      <w:r w:rsidR="000F7A50">
        <w:rPr>
          <w:lang w:val="en-US"/>
        </w:rPr>
        <w:t>age</w:t>
      </w:r>
      <w:r w:rsidR="009D4DF1" w:rsidRPr="00106B10">
        <w:t xml:space="preserve"> no later than 30 days after the change.</w:t>
      </w:r>
    </w:p>
    <w:p w14:paraId="5811389B" w14:textId="77777777" w:rsidR="00F12537" w:rsidRPr="00B67E4F" w:rsidRDefault="00F12537" w:rsidP="007D3FBF"/>
    <w:p w14:paraId="27B56B1A" w14:textId="77777777" w:rsidR="00F12537" w:rsidRPr="00056689" w:rsidRDefault="009925AD" w:rsidP="007D3FBF">
      <w:pPr>
        <w:tabs>
          <w:tab w:val="left" w:pos="1260"/>
        </w:tabs>
        <w:rPr>
          <w:rFonts w:cs="Arial"/>
          <w:b/>
          <w:szCs w:val="22"/>
        </w:rPr>
      </w:pPr>
      <w:r>
        <w:rPr>
          <w:rFonts w:cs="Arial"/>
          <w:b/>
          <w:szCs w:val="22"/>
        </w:rPr>
        <w:t>Step</w:t>
      </w:r>
      <w:r w:rsidR="00F12537" w:rsidRPr="00056689">
        <w:rPr>
          <w:rFonts w:cs="Arial"/>
          <w:b/>
          <w:szCs w:val="22"/>
        </w:rPr>
        <w:t xml:space="preserve"> 2</w:t>
      </w:r>
      <w:r w:rsidR="006B71F0">
        <w:rPr>
          <w:rFonts w:cs="Arial"/>
          <w:b/>
          <w:szCs w:val="22"/>
        </w:rPr>
        <w:t xml:space="preserve">. </w:t>
      </w:r>
      <w:r w:rsidR="00F12537" w:rsidRPr="00056689">
        <w:rPr>
          <w:rFonts w:cs="Arial"/>
          <w:b/>
          <w:szCs w:val="22"/>
        </w:rPr>
        <w:t xml:space="preserve">Obtain an </w:t>
      </w:r>
      <w:r w:rsidR="008D33F3">
        <w:rPr>
          <w:rFonts w:cs="Arial"/>
          <w:b/>
          <w:szCs w:val="22"/>
        </w:rPr>
        <w:t>A</w:t>
      </w:r>
      <w:r w:rsidR="00F12537" w:rsidRPr="00056689">
        <w:rPr>
          <w:rFonts w:cs="Arial"/>
          <w:b/>
          <w:szCs w:val="22"/>
        </w:rPr>
        <w:t xml:space="preserve">pplicable </w:t>
      </w:r>
      <w:r w:rsidR="008D33F3">
        <w:rPr>
          <w:rFonts w:cs="Arial"/>
          <w:b/>
          <w:szCs w:val="22"/>
        </w:rPr>
        <w:t>W</w:t>
      </w:r>
      <w:r w:rsidR="00F12537" w:rsidRPr="00056689">
        <w:rPr>
          <w:rFonts w:cs="Arial"/>
          <w:b/>
          <w:szCs w:val="22"/>
        </w:rPr>
        <w:t xml:space="preserve">age </w:t>
      </w:r>
      <w:r w:rsidR="008D33F3">
        <w:rPr>
          <w:rFonts w:cs="Arial"/>
          <w:b/>
          <w:szCs w:val="22"/>
        </w:rPr>
        <w:t>D</w:t>
      </w:r>
      <w:r w:rsidR="00F12537" w:rsidRPr="00056689">
        <w:rPr>
          <w:rFonts w:cs="Arial"/>
          <w:b/>
          <w:szCs w:val="22"/>
        </w:rPr>
        <w:t xml:space="preserve">ecision for the </w:t>
      </w:r>
      <w:r w:rsidR="008D33F3">
        <w:rPr>
          <w:rFonts w:cs="Arial"/>
          <w:b/>
          <w:szCs w:val="22"/>
        </w:rPr>
        <w:t>P</w:t>
      </w:r>
      <w:r w:rsidR="00F12537" w:rsidRPr="00056689">
        <w:rPr>
          <w:rFonts w:cs="Arial"/>
          <w:b/>
          <w:szCs w:val="22"/>
        </w:rPr>
        <w:t>roject</w:t>
      </w:r>
    </w:p>
    <w:p w14:paraId="75DA8149" w14:textId="77777777" w:rsidR="00BC6847" w:rsidRPr="00BD31E2" w:rsidRDefault="00C13EB3" w:rsidP="007D3FBF">
      <w:pPr>
        <w:pStyle w:val="1BODYArial11"/>
        <w:spacing w:line="240" w:lineRule="auto"/>
        <w:rPr>
          <w:lang w:val="en-US"/>
        </w:rPr>
      </w:pPr>
      <w:r w:rsidRPr="00B67E4F">
        <w:t>W</w:t>
      </w:r>
      <w:r w:rsidR="00F12537" w:rsidRPr="00B67E4F">
        <w:t>age decision</w:t>
      </w:r>
      <w:r w:rsidRPr="00B67E4F">
        <w:t>s</w:t>
      </w:r>
      <w:r w:rsidR="007F2170">
        <w:rPr>
          <w:lang w:val="en-US"/>
        </w:rPr>
        <w:t>:</w:t>
      </w:r>
    </w:p>
    <w:p w14:paraId="5A9EBA3D" w14:textId="7BA59687" w:rsidR="00BC6847" w:rsidRPr="00B67E4F" w:rsidRDefault="00522A1F" w:rsidP="007D3FBF">
      <w:pPr>
        <w:pStyle w:val="2BULLETArial11"/>
      </w:pPr>
      <w:r>
        <w:t>A</w:t>
      </w:r>
      <w:r w:rsidR="00BC6847" w:rsidRPr="00B67E4F">
        <w:t>re established by the U.S. Department of Labor (DOL</w:t>
      </w:r>
      <w:proofErr w:type="gramStart"/>
      <w:r w:rsidR="00BC6847" w:rsidRPr="00B67E4F">
        <w:t>);</w:t>
      </w:r>
      <w:proofErr w:type="gramEnd"/>
    </w:p>
    <w:p w14:paraId="165BA595" w14:textId="1A8CC144" w:rsidR="00BC6847" w:rsidRPr="00B67E4F" w:rsidRDefault="00522A1F" w:rsidP="007D3FBF">
      <w:pPr>
        <w:pStyle w:val="2BULLETArial11"/>
      </w:pPr>
      <w:r>
        <w:t>L</w:t>
      </w:r>
      <w:r w:rsidR="00BC6847" w:rsidRPr="00B67E4F">
        <w:t xml:space="preserve">ist construction work classifications (such as </w:t>
      </w:r>
      <w:r w:rsidR="000D4609">
        <w:t>c</w:t>
      </w:r>
      <w:r w:rsidR="00BC6847" w:rsidRPr="00B67E4F">
        <w:t xml:space="preserve">arpenter, </w:t>
      </w:r>
      <w:r w:rsidR="000D4609">
        <w:t>e</w:t>
      </w:r>
      <w:r w:rsidR="00BC6847" w:rsidRPr="00B67E4F">
        <w:t xml:space="preserve">lectrician, </w:t>
      </w:r>
      <w:r w:rsidR="000D4609">
        <w:t>p</w:t>
      </w:r>
      <w:r w:rsidR="00BC6847" w:rsidRPr="00B67E4F">
        <w:t xml:space="preserve">lumber, </w:t>
      </w:r>
      <w:r w:rsidR="000D4609">
        <w:t>l</w:t>
      </w:r>
      <w:r w:rsidR="00BC6847" w:rsidRPr="00B67E4F">
        <w:t>aborer, etc.) and the minimum wage rates, and fringe benefits where prevailing, that people performing work in those classifications must be paid;</w:t>
      </w:r>
    </w:p>
    <w:p w14:paraId="54EBFC6D" w14:textId="1B8A8462" w:rsidR="00BC6847" w:rsidRPr="00B67E4F" w:rsidRDefault="00522A1F" w:rsidP="007D3FBF">
      <w:pPr>
        <w:pStyle w:val="2BULLETArial11"/>
      </w:pPr>
      <w:r>
        <w:t>A</w:t>
      </w:r>
      <w:r w:rsidR="00BC6847" w:rsidRPr="00B67E4F">
        <w:t>re categorized into four groups</w:t>
      </w:r>
      <w:r>
        <w:t xml:space="preserve">: </w:t>
      </w:r>
      <w:r w:rsidR="000D4609">
        <w:t>h</w:t>
      </w:r>
      <w:r w:rsidR="00BC6847" w:rsidRPr="00B67E4F">
        <w:t>eavy,</w:t>
      </w:r>
      <w:r w:rsidR="000D4609">
        <w:t xml:space="preserve"> h</w:t>
      </w:r>
      <w:r w:rsidR="00BC6847" w:rsidRPr="00B67E4F">
        <w:t xml:space="preserve">ighway, </w:t>
      </w:r>
      <w:r w:rsidR="000D4609">
        <w:t>b</w:t>
      </w:r>
      <w:r w:rsidR="00BC6847" w:rsidRPr="00B67E4F">
        <w:t xml:space="preserve">uilding, and </w:t>
      </w:r>
      <w:r w:rsidR="000D4609">
        <w:t>r</w:t>
      </w:r>
      <w:r w:rsidR="00BC6847" w:rsidRPr="00B67E4F">
        <w:t xml:space="preserve">esidential </w:t>
      </w:r>
      <w:proofErr w:type="gramStart"/>
      <w:r w:rsidR="000D4609">
        <w:t>c</w:t>
      </w:r>
      <w:r w:rsidR="00BC6847" w:rsidRPr="00B67E4F">
        <w:t>onstruction</w:t>
      </w:r>
      <w:r w:rsidR="00BC6847">
        <w:t>;</w:t>
      </w:r>
      <w:proofErr w:type="gramEnd"/>
    </w:p>
    <w:p w14:paraId="7C3FBD62" w14:textId="2C056B4F" w:rsidR="00BC6847" w:rsidRPr="00B67E4F" w:rsidRDefault="00522A1F" w:rsidP="007D3FBF">
      <w:pPr>
        <w:pStyle w:val="2BULLETArial11"/>
      </w:pPr>
      <w:r>
        <w:t>A</w:t>
      </w:r>
      <w:r w:rsidR="00BC6847" w:rsidRPr="00B67E4F">
        <w:t>pply to specific geographic areas, usually a county or group of counties; and</w:t>
      </w:r>
    </w:p>
    <w:p w14:paraId="345145FF" w14:textId="66F28904" w:rsidR="00BC6847" w:rsidRPr="00B67E4F" w:rsidRDefault="00522A1F" w:rsidP="007D3FBF">
      <w:pPr>
        <w:pStyle w:val="2BULLETArial11"/>
      </w:pPr>
      <w:r>
        <w:t>A</w:t>
      </w:r>
      <w:r w:rsidR="00BC6847" w:rsidRPr="00B67E4F">
        <w:t>re modified from time</w:t>
      </w:r>
      <w:r w:rsidR="006968E6">
        <w:t xml:space="preserve"> to time to keep them current. </w:t>
      </w:r>
    </w:p>
    <w:p w14:paraId="2CF728F8" w14:textId="77777777" w:rsidR="003F1AC7" w:rsidRPr="004300D2" w:rsidRDefault="003F1AC7" w:rsidP="007D3FBF">
      <w:pPr>
        <w:jc w:val="both"/>
        <w:rPr>
          <w:rFonts w:cs="Arial"/>
          <w:i/>
          <w:szCs w:val="22"/>
        </w:rPr>
      </w:pPr>
    </w:p>
    <w:p w14:paraId="20EB8A10" w14:textId="7FBD2770" w:rsidR="00F829A1" w:rsidRDefault="00F12537" w:rsidP="007D3FBF">
      <w:pPr>
        <w:pStyle w:val="1BODYArial11"/>
        <w:spacing w:line="240" w:lineRule="auto"/>
      </w:pPr>
      <w:r w:rsidRPr="00B67E4F">
        <w:t xml:space="preserve">The LSO must obtain the applicable wage decision </w:t>
      </w:r>
      <w:r w:rsidR="001440C4" w:rsidRPr="00B67E4F">
        <w:t xml:space="preserve">from the Department of Labor’s website </w:t>
      </w:r>
      <w:r w:rsidR="000675F8" w:rsidRPr="00B67E4F">
        <w:t xml:space="preserve">at </w:t>
      </w:r>
      <w:r w:rsidR="00802AAA">
        <w:t>https://sam.gov</w:t>
      </w:r>
      <w:r w:rsidR="00106B10">
        <w:rPr>
          <w:b/>
          <w:color w:val="0000FF"/>
        </w:rPr>
        <w:t xml:space="preserve"> </w:t>
      </w:r>
      <w:r w:rsidR="00E815E2" w:rsidRPr="00E518B3">
        <w:t>for all</w:t>
      </w:r>
      <w:r w:rsidR="00923DCE" w:rsidRPr="00E518B3">
        <w:t xml:space="preserve"> construction contracts where </w:t>
      </w:r>
      <w:r w:rsidR="00C36CDE">
        <w:t>Davis-Bacon and Related Acts (</w:t>
      </w:r>
      <w:r w:rsidR="00923DCE" w:rsidRPr="00E518B3">
        <w:t>DBRA</w:t>
      </w:r>
      <w:r w:rsidR="00C36CDE">
        <w:t>)</w:t>
      </w:r>
      <w:r w:rsidR="00923DCE" w:rsidRPr="00E518B3">
        <w:t xml:space="preserve"> are</w:t>
      </w:r>
      <w:r w:rsidR="00E815E2" w:rsidRPr="00E518B3">
        <w:t xml:space="preserve"> </w:t>
      </w:r>
      <w:r w:rsidR="00CA1F13">
        <w:t>greater than $2,000</w:t>
      </w:r>
      <w:r w:rsidR="00E815E2" w:rsidRPr="00923DCE">
        <w:t>.</w:t>
      </w:r>
      <w:r w:rsidR="00E815E2" w:rsidRPr="00B67E4F">
        <w:t xml:space="preserve"> </w:t>
      </w:r>
      <w:r w:rsidR="008D73E3" w:rsidRPr="00B26D00">
        <w:rPr>
          <w:bCs/>
        </w:rPr>
        <w:t xml:space="preserve">Review the various </w:t>
      </w:r>
      <w:r w:rsidR="006B71F0">
        <w:rPr>
          <w:bCs/>
          <w:lang w:val="en-US"/>
        </w:rPr>
        <w:t>w</w:t>
      </w:r>
      <w:r w:rsidR="008D73E3" w:rsidRPr="00B26D00">
        <w:rPr>
          <w:bCs/>
        </w:rPr>
        <w:t xml:space="preserve">age </w:t>
      </w:r>
      <w:r w:rsidR="006B71F0">
        <w:rPr>
          <w:bCs/>
          <w:lang w:val="en-US"/>
        </w:rPr>
        <w:t>d</w:t>
      </w:r>
      <w:r w:rsidR="008D73E3" w:rsidRPr="00B26D00">
        <w:rPr>
          <w:bCs/>
        </w:rPr>
        <w:t>ecisions for</w:t>
      </w:r>
      <w:r w:rsidR="008D73E3" w:rsidRPr="00E518B3">
        <w:t xml:space="preserve"> each county and choose the one that is appro</w:t>
      </w:r>
      <w:r w:rsidR="008D73E3">
        <w:t>priate for the work to be done.</w:t>
      </w:r>
      <w:r w:rsidR="008D73E3" w:rsidRPr="00E518B3">
        <w:t xml:space="preserve"> The types of work and the locations where these decisions are applicable are listed </w:t>
      </w:r>
      <w:r w:rsidR="008D73E3">
        <w:t>in</w:t>
      </w:r>
      <w:r w:rsidR="008D73E3" w:rsidRPr="00E518B3">
        <w:t xml:space="preserve"> the first paragraphs of the decision.  </w:t>
      </w:r>
    </w:p>
    <w:p w14:paraId="4EDFE822" w14:textId="77777777" w:rsidR="00EA5B2C" w:rsidRPr="002F6969" w:rsidRDefault="00EA5B2C" w:rsidP="007D3FBF">
      <w:pPr>
        <w:pStyle w:val="1BODYArial11"/>
        <w:spacing w:line="240" w:lineRule="auto"/>
      </w:pPr>
    </w:p>
    <w:p w14:paraId="071C44BC" w14:textId="77777777" w:rsidR="00BC6847" w:rsidRPr="00E518B3" w:rsidRDefault="000560A7" w:rsidP="007D3FBF">
      <w:pPr>
        <w:pStyle w:val="3BOLDArial11"/>
        <w:spacing w:line="240" w:lineRule="auto"/>
      </w:pPr>
      <w:r>
        <w:t>Wage</w:t>
      </w:r>
      <w:r w:rsidR="00BC6847" w:rsidRPr="00E518B3">
        <w:t xml:space="preserve"> </w:t>
      </w:r>
      <w:r>
        <w:t>Rate</w:t>
      </w:r>
      <w:r w:rsidR="00BC6847" w:rsidRPr="00E518B3">
        <w:t xml:space="preserve"> </w:t>
      </w:r>
      <w:r>
        <w:t>Classifications</w:t>
      </w:r>
    </w:p>
    <w:p w14:paraId="62858742" w14:textId="77777777" w:rsidR="00BC6847" w:rsidRPr="00E518B3" w:rsidRDefault="00BC6847" w:rsidP="007D3FBF">
      <w:pPr>
        <w:pStyle w:val="1BODYArial11"/>
        <w:spacing w:line="240" w:lineRule="auto"/>
      </w:pPr>
      <w:r w:rsidRPr="00E518B3">
        <w:t>The following descriptions and illustrations are provided as guidelines. The advertised and contract specifications should identify as specifically as possible the segments of work to which the schedules will apply.</w:t>
      </w:r>
    </w:p>
    <w:p w14:paraId="37A2DA33" w14:textId="77777777" w:rsidR="00BC6847" w:rsidRPr="00E518B3" w:rsidRDefault="00B109E4" w:rsidP="007D3FBF">
      <w:pPr>
        <w:pStyle w:val="2BULLETArial11"/>
      </w:pPr>
      <w:r>
        <w:rPr>
          <w:b/>
        </w:rPr>
        <w:t xml:space="preserve">Highway Construction </w:t>
      </w:r>
      <w:r>
        <w:t>–</w:t>
      </w:r>
      <w:r w:rsidR="00BC6847" w:rsidRPr="00E518B3">
        <w:t xml:space="preserve"> Highway projects include the construction, alteration or repair of roads, streets, highways, runways, taxiways, alleys, trails, sidewalks, paths, parking areas, and other similar projects not incidental to building or heavy construction.</w:t>
      </w:r>
    </w:p>
    <w:p w14:paraId="7D99AD97" w14:textId="77777777" w:rsidR="00BC6847" w:rsidRPr="00E518B3" w:rsidRDefault="00B109E4" w:rsidP="007D3FBF">
      <w:pPr>
        <w:pStyle w:val="2BULLETArial11"/>
      </w:pPr>
      <w:r>
        <w:rPr>
          <w:b/>
        </w:rPr>
        <w:t>Building</w:t>
      </w:r>
      <w:r w:rsidR="00BC6847" w:rsidRPr="00E518B3">
        <w:rPr>
          <w:b/>
        </w:rPr>
        <w:t xml:space="preserve"> </w:t>
      </w:r>
      <w:r>
        <w:rPr>
          <w:b/>
        </w:rPr>
        <w:t xml:space="preserve">Construction </w:t>
      </w:r>
      <w:r>
        <w:t>–</w:t>
      </w:r>
      <w:r w:rsidRPr="00E518B3">
        <w:t xml:space="preserve"> </w:t>
      </w:r>
      <w:r w:rsidR="00BC6847" w:rsidRPr="00E518B3">
        <w:t>Building construction generally is the construction of sheltered enclosures with walk-in access for the purpose of housing persons, mach</w:t>
      </w:r>
      <w:r w:rsidR="006968E6">
        <w:t xml:space="preserve">inery, equipment, or supplies. </w:t>
      </w:r>
      <w:r w:rsidR="00BC6847" w:rsidRPr="00E518B3">
        <w:t>It includes all construction such as structures, residential structures greater than fou</w:t>
      </w:r>
      <w:r>
        <w:t xml:space="preserve">r </w:t>
      </w:r>
      <w:r w:rsidR="00BC6847" w:rsidRPr="00E518B3">
        <w:t>stories, the installation of utilities</w:t>
      </w:r>
      <w:r>
        <w:t>,</w:t>
      </w:r>
      <w:r w:rsidR="00BC6847" w:rsidRPr="00E518B3">
        <w:t xml:space="preserve"> and the installation of equipment, both above and below grade level, as well as incidental </w:t>
      </w:r>
      <w:r w:rsidR="006968E6">
        <w:t>grading, utilities</w:t>
      </w:r>
      <w:r>
        <w:t>,</w:t>
      </w:r>
      <w:r w:rsidR="006968E6">
        <w:t xml:space="preserve"> and paving.</w:t>
      </w:r>
      <w:r>
        <w:t xml:space="preserve"> </w:t>
      </w:r>
      <w:r w:rsidR="00BC6847" w:rsidRPr="00E518B3">
        <w:t xml:space="preserve">Additionally, such structures need not be </w:t>
      </w:r>
      <w:r w:rsidR="00BC6847" w:rsidRPr="00B109E4">
        <w:rPr>
          <w:b/>
          <w:bCs/>
        </w:rPr>
        <w:t>habitable</w:t>
      </w:r>
      <w:r w:rsidR="006968E6">
        <w:t xml:space="preserve"> to be building construction.</w:t>
      </w:r>
      <w:r>
        <w:t xml:space="preserve"> </w:t>
      </w:r>
      <w:r w:rsidR="00BC6847" w:rsidRPr="00E518B3">
        <w:t>The installation of heavy machinery and/or equipment does not generally change the project’s character as a building.</w:t>
      </w:r>
    </w:p>
    <w:p w14:paraId="0BA57C9C" w14:textId="77777777" w:rsidR="00BC6847" w:rsidRPr="00E518B3" w:rsidRDefault="00B109E4" w:rsidP="007D3FBF">
      <w:pPr>
        <w:pStyle w:val="2BULLETArial11"/>
      </w:pPr>
      <w:r>
        <w:rPr>
          <w:b/>
        </w:rPr>
        <w:t>Residential</w:t>
      </w:r>
      <w:r w:rsidR="00BC6847" w:rsidRPr="00E518B3">
        <w:rPr>
          <w:b/>
        </w:rPr>
        <w:t xml:space="preserve"> </w:t>
      </w:r>
      <w:r>
        <w:rPr>
          <w:b/>
        </w:rPr>
        <w:t xml:space="preserve">Construction </w:t>
      </w:r>
      <w:r>
        <w:t>–</w:t>
      </w:r>
      <w:r w:rsidRPr="00E518B3">
        <w:t xml:space="preserve"> </w:t>
      </w:r>
      <w:r w:rsidR="00BC6847" w:rsidRPr="00E518B3">
        <w:t>Residential projects for Davis-Bacon purposes are those involving the construction, alteration, or repair of single</w:t>
      </w:r>
      <w:r>
        <w:t>-</w:t>
      </w:r>
      <w:r w:rsidR="00BC6847" w:rsidRPr="00E518B3">
        <w:t>family houses or apartment buildings of no more th</w:t>
      </w:r>
      <w:r w:rsidR="006968E6">
        <w:t xml:space="preserve">an four stories in height. </w:t>
      </w:r>
      <w:r w:rsidR="00BC6847" w:rsidRPr="00E518B3">
        <w:t>This includes all incidental items such as site work, parking areas, utilities, streets</w:t>
      </w:r>
      <w:r>
        <w:t>,</w:t>
      </w:r>
      <w:r w:rsidR="00BC6847" w:rsidRPr="00E518B3">
        <w:t xml:space="preserve"> and sidewalks.</w:t>
      </w:r>
    </w:p>
    <w:p w14:paraId="66AA1ECC" w14:textId="77777777" w:rsidR="00BC6847" w:rsidRPr="00E518B3" w:rsidRDefault="00B109E4" w:rsidP="007D3FBF">
      <w:pPr>
        <w:pStyle w:val="2BULLETArial11"/>
      </w:pPr>
      <w:r>
        <w:rPr>
          <w:b/>
        </w:rPr>
        <w:t>Heavy</w:t>
      </w:r>
      <w:r w:rsidR="00BC6847" w:rsidRPr="00E518B3">
        <w:rPr>
          <w:b/>
        </w:rPr>
        <w:t xml:space="preserve"> </w:t>
      </w:r>
      <w:r>
        <w:rPr>
          <w:b/>
        </w:rPr>
        <w:t xml:space="preserve">Construction </w:t>
      </w:r>
      <w:r>
        <w:t>–</w:t>
      </w:r>
      <w:r w:rsidRPr="00E518B3">
        <w:t xml:space="preserve"> </w:t>
      </w:r>
      <w:r w:rsidR="00BC6847" w:rsidRPr="00E518B3">
        <w:t>Heavy projects are those projects that are not properly classified as either bu</w:t>
      </w:r>
      <w:r w:rsidR="006968E6">
        <w:t>ilding, highway or residential.</w:t>
      </w:r>
      <w:r w:rsidR="00BC6847" w:rsidRPr="00E518B3">
        <w:t xml:space="preserve"> Unlike these classifications, heavy construction is no</w:t>
      </w:r>
      <w:r w:rsidR="006968E6">
        <w:t xml:space="preserve">t a consistent classification. </w:t>
      </w:r>
      <w:r w:rsidR="00BC6847" w:rsidRPr="00E518B3">
        <w:t xml:space="preserve">Because of this catch-all nature, projects within the heavy classification may sometimes be distinguished </w:t>
      </w:r>
      <w:proofErr w:type="gramStart"/>
      <w:r w:rsidR="00BC6847" w:rsidRPr="00E518B3">
        <w:t>on the basis of</w:t>
      </w:r>
      <w:proofErr w:type="gramEnd"/>
      <w:r w:rsidR="00BC6847" w:rsidRPr="00E518B3">
        <w:t xml:space="preserve"> their particular project characteristics, </w:t>
      </w:r>
      <w:r w:rsidR="006968E6">
        <w:t xml:space="preserve">and separate schedules issued. </w:t>
      </w:r>
      <w:r w:rsidR="00BC6847" w:rsidRPr="00E518B3">
        <w:t>For example, separate schedules may be issued for dredging projects, water and sewer line projects, dams, major bridges, and flood control projects.</w:t>
      </w:r>
    </w:p>
    <w:p w14:paraId="276C65CE" w14:textId="089ABE55" w:rsidR="006B0B8C" w:rsidRDefault="006B0B8C" w:rsidP="007D3FBF">
      <w:pPr>
        <w:tabs>
          <w:tab w:val="left" w:pos="1668"/>
        </w:tabs>
        <w:rPr>
          <w:rFonts w:cs="Arial"/>
          <w:szCs w:val="22"/>
        </w:rPr>
      </w:pPr>
    </w:p>
    <w:p w14:paraId="048A66AF" w14:textId="77777777" w:rsidR="001671C9" w:rsidRPr="00E037F8" w:rsidRDefault="001671C9" w:rsidP="007D3FBF">
      <w:pPr>
        <w:tabs>
          <w:tab w:val="left" w:pos="1260"/>
        </w:tabs>
        <w:jc w:val="both"/>
        <w:rPr>
          <w:rFonts w:cs="Arial"/>
          <w:b/>
          <w:szCs w:val="22"/>
        </w:rPr>
      </w:pPr>
      <w:r w:rsidRPr="00E037F8">
        <w:rPr>
          <w:rFonts w:cs="Arial"/>
          <w:b/>
          <w:szCs w:val="22"/>
        </w:rPr>
        <w:t xml:space="preserve">Step </w:t>
      </w:r>
      <w:r>
        <w:rPr>
          <w:rFonts w:cs="Arial"/>
          <w:b/>
          <w:szCs w:val="22"/>
        </w:rPr>
        <w:t>3</w:t>
      </w:r>
      <w:r w:rsidRPr="00E037F8">
        <w:rPr>
          <w:rFonts w:cs="Arial"/>
          <w:szCs w:val="22"/>
        </w:rPr>
        <w:t xml:space="preserve">. </w:t>
      </w:r>
      <w:r w:rsidRPr="00E037F8">
        <w:rPr>
          <w:rFonts w:cs="Arial"/>
          <w:b/>
          <w:bCs/>
          <w:szCs w:val="22"/>
        </w:rPr>
        <w:t>Complete</w:t>
      </w:r>
      <w:r w:rsidRPr="00E037F8">
        <w:rPr>
          <w:rFonts w:cs="Arial"/>
          <w:b/>
          <w:szCs w:val="22"/>
        </w:rPr>
        <w:t xml:space="preserve"> the Material and Services Report</w:t>
      </w:r>
      <w:r>
        <w:rPr>
          <w:rFonts w:cs="Arial"/>
          <w:b/>
          <w:szCs w:val="22"/>
        </w:rPr>
        <w:t xml:space="preserve"> Labor Standards page</w:t>
      </w:r>
    </w:p>
    <w:p w14:paraId="1AB39AE2" w14:textId="778AD0A3" w:rsidR="00F32CA5" w:rsidRPr="002F6969" w:rsidRDefault="00F32CA5" w:rsidP="007D3FBF">
      <w:pPr>
        <w:pStyle w:val="1BODYArial11"/>
        <w:spacing w:line="240" w:lineRule="auto"/>
        <w:ind w:right="-234"/>
        <w:rPr>
          <w:lang w:val="en-US"/>
        </w:rPr>
      </w:pPr>
      <w:r>
        <w:t xml:space="preserve">Detailed step-by-step instructions for completing and submitting an MSR in TDA-GO may be found on the TDA website. </w:t>
      </w:r>
    </w:p>
    <w:p w14:paraId="1498B315" w14:textId="77777777" w:rsidR="001671C9" w:rsidRDefault="001671C9" w:rsidP="007D3FBF">
      <w:pPr>
        <w:pStyle w:val="1BODYArial11"/>
        <w:spacing w:line="240" w:lineRule="auto"/>
      </w:pPr>
    </w:p>
    <w:p w14:paraId="411AEBDE" w14:textId="2F16FDED" w:rsidR="001671C9" w:rsidRDefault="008D73E3" w:rsidP="007D3FBF">
      <w:pPr>
        <w:pStyle w:val="1BODYArial11"/>
        <w:spacing w:line="240" w:lineRule="auto"/>
        <w:rPr>
          <w:bCs/>
          <w:lang w:val="en-US"/>
        </w:rPr>
      </w:pPr>
      <w:r w:rsidRPr="00B67E4F">
        <w:t xml:space="preserve">The LSO must </w:t>
      </w:r>
      <w:r w:rsidR="008E322F">
        <w:rPr>
          <w:lang w:val="en-US"/>
        </w:rPr>
        <w:t xml:space="preserve">document the wage decision </w:t>
      </w:r>
      <w:r w:rsidR="008E322F" w:rsidRPr="008451DD">
        <w:rPr>
          <w:lang w:val="en-US"/>
        </w:rPr>
        <w:t>on</w:t>
      </w:r>
      <w:r w:rsidR="001671C9" w:rsidRPr="008451DD">
        <w:rPr>
          <w:lang w:val="en-US"/>
        </w:rPr>
        <w:t xml:space="preserve"> the </w:t>
      </w:r>
      <w:r w:rsidR="001671C9" w:rsidRPr="008451DD">
        <w:rPr>
          <w:i/>
          <w:iCs/>
          <w:lang w:val="en-US"/>
        </w:rPr>
        <w:t>Labor Standards</w:t>
      </w:r>
      <w:r w:rsidR="001671C9" w:rsidRPr="008451DD">
        <w:rPr>
          <w:lang w:val="en-US"/>
        </w:rPr>
        <w:t xml:space="preserve"> page of</w:t>
      </w:r>
      <w:r w:rsidR="008E322F" w:rsidRPr="008451DD">
        <w:rPr>
          <w:lang w:val="en-US"/>
        </w:rPr>
        <w:t xml:space="preserve"> </w:t>
      </w:r>
      <w:r w:rsidRPr="008451DD">
        <w:rPr>
          <w:lang w:val="en-US"/>
        </w:rPr>
        <w:t xml:space="preserve">a </w:t>
      </w:r>
      <w:r w:rsidR="00BD31E2" w:rsidRPr="008451DD">
        <w:rPr>
          <w:lang w:val="en-US"/>
        </w:rPr>
        <w:t xml:space="preserve">Materials </w:t>
      </w:r>
      <w:r w:rsidR="00F3722E" w:rsidRPr="008451DD">
        <w:rPr>
          <w:lang w:val="en-US"/>
        </w:rPr>
        <w:t>and</w:t>
      </w:r>
      <w:r w:rsidR="00BD31E2" w:rsidRPr="008451DD">
        <w:rPr>
          <w:lang w:val="en-US"/>
        </w:rPr>
        <w:t xml:space="preserve"> Services </w:t>
      </w:r>
      <w:r w:rsidR="003D0790" w:rsidRPr="008451DD">
        <w:rPr>
          <w:lang w:val="en-US"/>
        </w:rPr>
        <w:t>Report</w:t>
      </w:r>
      <w:r w:rsidR="00BD31E2" w:rsidRPr="008451DD">
        <w:rPr>
          <w:lang w:val="en-US"/>
        </w:rPr>
        <w:t xml:space="preserve"> (MSR)</w:t>
      </w:r>
      <w:r w:rsidRPr="008451DD">
        <w:rPr>
          <w:lang w:val="en-US"/>
        </w:rPr>
        <w:t xml:space="preserve"> in the TDA-GO system.</w:t>
      </w:r>
      <w:r w:rsidR="006B7852" w:rsidRPr="008451DD">
        <w:rPr>
          <w:lang w:val="en-US"/>
        </w:rPr>
        <w:t xml:space="preserve"> </w:t>
      </w:r>
      <w:r w:rsidR="00EA5B2C" w:rsidRPr="008451DD">
        <w:rPr>
          <w:lang w:val="en-US"/>
        </w:rPr>
        <w:t xml:space="preserve">TDA staff will review the project description entered on the MSR </w:t>
      </w:r>
      <w:r w:rsidR="00F06A51" w:rsidRPr="00D2447F">
        <w:rPr>
          <w:i/>
          <w:iCs/>
          <w:lang w:val="en-US"/>
        </w:rPr>
        <w:t>Labor Standards</w:t>
      </w:r>
      <w:r w:rsidR="00F06A51">
        <w:rPr>
          <w:lang w:val="en-US"/>
        </w:rPr>
        <w:t xml:space="preserve"> </w:t>
      </w:r>
      <w:r w:rsidR="00EA5B2C" w:rsidRPr="008451DD">
        <w:rPr>
          <w:lang w:val="en-US"/>
        </w:rPr>
        <w:t>page</w:t>
      </w:r>
      <w:r w:rsidR="009C1057" w:rsidRPr="008451DD">
        <w:rPr>
          <w:lang w:val="en-US"/>
        </w:rPr>
        <w:t xml:space="preserve"> </w:t>
      </w:r>
      <w:r w:rsidR="009C1057" w:rsidRPr="008451DD">
        <w:rPr>
          <w:bCs/>
          <w:lang w:val="en-US"/>
        </w:rPr>
        <w:t xml:space="preserve">and </w:t>
      </w:r>
      <w:r w:rsidRPr="008451DD">
        <w:rPr>
          <w:bCs/>
          <w:lang w:val="en-US"/>
        </w:rPr>
        <w:t xml:space="preserve">verify that the wage decision is </w:t>
      </w:r>
      <w:r>
        <w:rPr>
          <w:bCs/>
          <w:lang w:val="en-US"/>
        </w:rPr>
        <w:t xml:space="preserve">appropriate. </w:t>
      </w:r>
      <w:r w:rsidR="008E322F">
        <w:rPr>
          <w:bCs/>
          <w:lang w:val="en-US"/>
        </w:rPr>
        <w:t>Approval of the wage decision</w:t>
      </w:r>
      <w:r w:rsidR="008C6C59">
        <w:rPr>
          <w:bCs/>
          <w:lang w:val="en-US"/>
        </w:rPr>
        <w:t xml:space="preserve"> must be received prior to the bid opening date.</w:t>
      </w:r>
    </w:p>
    <w:p w14:paraId="6692ADD8" w14:textId="6BD46204" w:rsidR="00F32CA5" w:rsidRDefault="00F32CA5" w:rsidP="007D3FBF">
      <w:pPr>
        <w:pStyle w:val="1BODYArial11"/>
        <w:spacing w:line="240" w:lineRule="auto"/>
      </w:pPr>
    </w:p>
    <w:p w14:paraId="27B661E9" w14:textId="0FD4822D" w:rsidR="00C4494F" w:rsidRPr="0075764E" w:rsidRDefault="00B26D00" w:rsidP="007D3FBF">
      <w:pPr>
        <w:pStyle w:val="1BODYArial11"/>
        <w:spacing w:line="240" w:lineRule="auto"/>
        <w:rPr>
          <w:bCs/>
        </w:rPr>
      </w:pPr>
      <w:r w:rsidRPr="009C1057">
        <w:rPr>
          <w:b/>
          <w:bCs/>
        </w:rPr>
        <w:t>Step</w:t>
      </w:r>
      <w:r w:rsidR="00C4494F" w:rsidRPr="009C1057">
        <w:rPr>
          <w:b/>
          <w:bCs/>
        </w:rPr>
        <w:t xml:space="preserve"> </w:t>
      </w:r>
      <w:r w:rsidR="001671C9" w:rsidRPr="009C1057">
        <w:rPr>
          <w:b/>
          <w:bCs/>
        </w:rPr>
        <w:t>4</w:t>
      </w:r>
      <w:r w:rsidR="00CD2364" w:rsidRPr="009C1057">
        <w:rPr>
          <w:b/>
          <w:bCs/>
        </w:rPr>
        <w:t xml:space="preserve">. </w:t>
      </w:r>
      <w:r w:rsidR="00C4494F" w:rsidRPr="009C1057">
        <w:rPr>
          <w:b/>
          <w:bCs/>
        </w:rPr>
        <w:t xml:space="preserve">Include the </w:t>
      </w:r>
      <w:r w:rsidR="008D33F3" w:rsidRPr="009C1057">
        <w:rPr>
          <w:b/>
          <w:bCs/>
        </w:rPr>
        <w:t>W</w:t>
      </w:r>
      <w:r w:rsidR="00C4494F" w:rsidRPr="009C1057">
        <w:rPr>
          <w:b/>
          <w:bCs/>
        </w:rPr>
        <w:t xml:space="preserve">age </w:t>
      </w:r>
      <w:r w:rsidR="008D33F3" w:rsidRPr="009C1057">
        <w:rPr>
          <w:b/>
          <w:bCs/>
        </w:rPr>
        <w:t>D</w:t>
      </w:r>
      <w:r w:rsidR="00C4494F" w:rsidRPr="009C1057">
        <w:rPr>
          <w:b/>
          <w:bCs/>
        </w:rPr>
        <w:t xml:space="preserve">ecision in the </w:t>
      </w:r>
      <w:r w:rsidR="008D33F3" w:rsidRPr="009C1057">
        <w:rPr>
          <w:b/>
          <w:bCs/>
        </w:rPr>
        <w:t>B</w:t>
      </w:r>
      <w:r w:rsidR="00C4494F" w:rsidRPr="009C1057">
        <w:rPr>
          <w:b/>
          <w:bCs/>
        </w:rPr>
        <w:t xml:space="preserve">id </w:t>
      </w:r>
      <w:r w:rsidR="008D33F3" w:rsidRPr="009C1057">
        <w:rPr>
          <w:b/>
          <w:bCs/>
        </w:rPr>
        <w:t>D</w:t>
      </w:r>
      <w:r w:rsidR="00C4494F" w:rsidRPr="009C1057">
        <w:rPr>
          <w:b/>
          <w:bCs/>
        </w:rPr>
        <w:t>ocuments</w:t>
      </w:r>
    </w:p>
    <w:p w14:paraId="1AD6E3F7" w14:textId="2E9A5E48" w:rsidR="00C4494F" w:rsidRPr="005E6340" w:rsidRDefault="00C4494F" w:rsidP="007D3FBF">
      <w:pPr>
        <w:pStyle w:val="1BODYArial11"/>
        <w:spacing w:line="240" w:lineRule="auto"/>
      </w:pPr>
      <w:r w:rsidRPr="00B67E4F">
        <w:t>If the construction work will be procured through competitive bidding</w:t>
      </w:r>
      <w:r w:rsidR="008F0D11">
        <w:t xml:space="preserve"> (</w:t>
      </w:r>
      <w:r w:rsidR="00723304">
        <w:t>either sealed bids or small purchase procurement</w:t>
      </w:r>
      <w:r w:rsidR="008F0D11">
        <w:t>)</w:t>
      </w:r>
      <w:r w:rsidRPr="00B67E4F">
        <w:t>, the wage decision (and any modifications) must b</w:t>
      </w:r>
      <w:r w:rsidR="006968E6">
        <w:t xml:space="preserve">e included in the bid package. </w:t>
      </w:r>
      <w:r w:rsidRPr="00B67E4F">
        <w:t xml:space="preserve">See </w:t>
      </w:r>
      <w:r w:rsidRPr="00F72139">
        <w:rPr>
          <w:bCs/>
          <w:i/>
          <w:iCs/>
        </w:rPr>
        <w:t>Chapter 5</w:t>
      </w:r>
      <w:r w:rsidRPr="00B26D00">
        <w:rPr>
          <w:bCs/>
        </w:rPr>
        <w:t xml:space="preserve"> </w:t>
      </w:r>
      <w:r w:rsidRPr="006B7852">
        <w:rPr>
          <w:bCs/>
          <w:i/>
          <w:iCs/>
        </w:rPr>
        <w:t>Procurement Procedures</w:t>
      </w:r>
      <w:r w:rsidRPr="00B26D00">
        <w:rPr>
          <w:bCs/>
        </w:rPr>
        <w:t xml:space="preserve"> for more information on the bid process and documents.</w:t>
      </w:r>
      <w:r w:rsidR="003F1AC7" w:rsidRPr="00B26D00">
        <w:rPr>
          <w:bCs/>
        </w:rPr>
        <w:t xml:space="preserve"> </w:t>
      </w:r>
    </w:p>
    <w:p w14:paraId="40F436AC" w14:textId="77777777" w:rsidR="001D038B" w:rsidRDefault="001D038B" w:rsidP="007D3FBF">
      <w:pPr>
        <w:tabs>
          <w:tab w:val="left" w:pos="1247"/>
        </w:tabs>
        <w:jc w:val="both"/>
        <w:rPr>
          <w:rFonts w:cs="Arial"/>
          <w:b/>
          <w:szCs w:val="22"/>
        </w:rPr>
      </w:pPr>
    </w:p>
    <w:p w14:paraId="73E24A4F" w14:textId="77777777" w:rsidR="00F12537" w:rsidRPr="00B67E4F" w:rsidRDefault="00B26D00" w:rsidP="007D3FBF">
      <w:pPr>
        <w:tabs>
          <w:tab w:val="left" w:pos="1247"/>
        </w:tabs>
        <w:jc w:val="both"/>
        <w:rPr>
          <w:rFonts w:cs="Arial"/>
          <w:szCs w:val="22"/>
        </w:rPr>
      </w:pPr>
      <w:r>
        <w:rPr>
          <w:rFonts w:cs="Arial"/>
          <w:b/>
          <w:szCs w:val="22"/>
        </w:rPr>
        <w:t>Step</w:t>
      </w:r>
      <w:r w:rsidR="00F12537" w:rsidRPr="00B67E4F">
        <w:rPr>
          <w:rFonts w:cs="Arial"/>
          <w:b/>
          <w:szCs w:val="22"/>
        </w:rPr>
        <w:t xml:space="preserve"> </w:t>
      </w:r>
      <w:r w:rsidR="001671C9">
        <w:rPr>
          <w:rFonts w:cs="Arial"/>
          <w:b/>
          <w:szCs w:val="22"/>
        </w:rPr>
        <w:t>5</w:t>
      </w:r>
      <w:r w:rsidR="00CD2364">
        <w:rPr>
          <w:rFonts w:cs="Arial"/>
          <w:b/>
          <w:szCs w:val="22"/>
        </w:rPr>
        <w:t xml:space="preserve">. </w:t>
      </w:r>
      <w:r w:rsidR="00F12537" w:rsidRPr="00B67E4F">
        <w:rPr>
          <w:rFonts w:cs="Arial"/>
          <w:b/>
          <w:szCs w:val="22"/>
        </w:rPr>
        <w:t xml:space="preserve">Ensure that the </w:t>
      </w:r>
      <w:r w:rsidR="008D33F3">
        <w:rPr>
          <w:rFonts w:cs="Arial"/>
          <w:b/>
          <w:szCs w:val="22"/>
        </w:rPr>
        <w:t>W</w:t>
      </w:r>
      <w:r w:rsidR="00F12537" w:rsidRPr="00B67E4F">
        <w:rPr>
          <w:rFonts w:cs="Arial"/>
          <w:b/>
          <w:szCs w:val="22"/>
        </w:rPr>
        <w:t xml:space="preserve">age </w:t>
      </w:r>
      <w:r w:rsidR="008D33F3">
        <w:rPr>
          <w:rFonts w:cs="Arial"/>
          <w:b/>
          <w:szCs w:val="22"/>
        </w:rPr>
        <w:t>D</w:t>
      </w:r>
      <w:r w:rsidR="00F12537" w:rsidRPr="00B67E4F">
        <w:rPr>
          <w:rFonts w:cs="Arial"/>
          <w:b/>
          <w:szCs w:val="22"/>
        </w:rPr>
        <w:t xml:space="preserve">ecision is </w:t>
      </w:r>
      <w:r w:rsidR="008D33F3">
        <w:rPr>
          <w:rFonts w:cs="Arial"/>
          <w:b/>
          <w:szCs w:val="22"/>
        </w:rPr>
        <w:t>Cu</w:t>
      </w:r>
      <w:r w:rsidR="00F12537" w:rsidRPr="00B67E4F">
        <w:rPr>
          <w:rFonts w:cs="Arial"/>
          <w:b/>
          <w:szCs w:val="22"/>
        </w:rPr>
        <w:t xml:space="preserve">rrent </w:t>
      </w:r>
      <w:r w:rsidR="008D33F3">
        <w:rPr>
          <w:rFonts w:cs="Arial"/>
          <w:b/>
          <w:szCs w:val="22"/>
        </w:rPr>
        <w:t>B</w:t>
      </w:r>
      <w:r w:rsidR="00F12537" w:rsidRPr="00B67E4F">
        <w:rPr>
          <w:rFonts w:cs="Arial"/>
          <w:b/>
          <w:szCs w:val="22"/>
        </w:rPr>
        <w:t xml:space="preserve">efore </w:t>
      </w:r>
      <w:r w:rsidR="008D33F3">
        <w:rPr>
          <w:rFonts w:cs="Arial"/>
          <w:b/>
          <w:szCs w:val="22"/>
        </w:rPr>
        <w:t>B</w:t>
      </w:r>
      <w:r w:rsidR="00F12537" w:rsidRPr="00B67E4F">
        <w:rPr>
          <w:rFonts w:cs="Arial"/>
          <w:b/>
          <w:szCs w:val="22"/>
        </w:rPr>
        <w:t xml:space="preserve">id </w:t>
      </w:r>
      <w:r w:rsidR="008D33F3">
        <w:rPr>
          <w:rFonts w:cs="Arial"/>
          <w:b/>
          <w:szCs w:val="22"/>
        </w:rPr>
        <w:t>O</w:t>
      </w:r>
      <w:r w:rsidR="00F12537" w:rsidRPr="00B67E4F">
        <w:rPr>
          <w:rFonts w:cs="Arial"/>
          <w:b/>
          <w:szCs w:val="22"/>
        </w:rPr>
        <w:t>pening</w:t>
      </w:r>
    </w:p>
    <w:p w14:paraId="4B49B322" w14:textId="77777777" w:rsidR="002C69F9" w:rsidRDefault="00F12537" w:rsidP="007D3FBF">
      <w:pPr>
        <w:pStyle w:val="1BODYArial11"/>
        <w:spacing w:line="240" w:lineRule="auto"/>
        <w:rPr>
          <w:lang w:val="en-US"/>
        </w:rPr>
      </w:pPr>
      <w:r w:rsidRPr="00B67E4F">
        <w:t>The LSO must confirm that the wage decision in the bid specifications</w:t>
      </w:r>
      <w:r w:rsidR="00F33BD7">
        <w:t xml:space="preserve"> for construction contracts in excess of $2,000</w:t>
      </w:r>
      <w:r w:rsidRPr="00B67E4F">
        <w:t xml:space="preserve"> is still cur</w:t>
      </w:r>
      <w:r w:rsidR="006968E6">
        <w:t xml:space="preserve">rent for the bid opening date. </w:t>
      </w:r>
      <w:proofErr w:type="spellStart"/>
      <w:r w:rsidR="008D73E3" w:rsidRPr="009C1057">
        <w:rPr>
          <w:u w:val="single"/>
          <w:lang w:val="en-US"/>
        </w:rPr>
        <w:t>N</w:t>
      </w:r>
      <w:r w:rsidR="00602667" w:rsidRPr="009C1057">
        <w:rPr>
          <w:u w:val="single"/>
        </w:rPr>
        <w:t>o</w:t>
      </w:r>
      <w:proofErr w:type="spellEnd"/>
      <w:r w:rsidR="00602667" w:rsidRPr="009C1057">
        <w:rPr>
          <w:u w:val="single"/>
        </w:rPr>
        <w:t xml:space="preserve"> more than</w:t>
      </w:r>
      <w:r w:rsidR="00602667" w:rsidRPr="009C1057">
        <w:rPr>
          <w:i/>
          <w:color w:val="FF0000"/>
          <w:u w:val="single"/>
        </w:rPr>
        <w:t xml:space="preserve"> </w:t>
      </w:r>
      <w:r w:rsidR="009327CC" w:rsidRPr="009C1057">
        <w:rPr>
          <w:u w:val="single"/>
        </w:rPr>
        <w:t>ten</w:t>
      </w:r>
      <w:r w:rsidR="00B84717" w:rsidRPr="009C1057">
        <w:rPr>
          <w:u w:val="single"/>
        </w:rPr>
        <w:t xml:space="preserve">, </w:t>
      </w:r>
      <w:r w:rsidR="009327CC" w:rsidRPr="009C1057">
        <w:rPr>
          <w:u w:val="single"/>
        </w:rPr>
        <w:t>but not less than five</w:t>
      </w:r>
      <w:r w:rsidR="00101B5C" w:rsidRPr="009C1057">
        <w:rPr>
          <w:u w:val="single"/>
        </w:rPr>
        <w:t>,</w:t>
      </w:r>
      <w:r w:rsidR="00B84717" w:rsidRPr="009C1057">
        <w:rPr>
          <w:u w:val="single"/>
        </w:rPr>
        <w:t xml:space="preserve"> days prior</w:t>
      </w:r>
      <w:r w:rsidR="009F7497" w:rsidRPr="009C1057">
        <w:rPr>
          <w:u w:val="single"/>
        </w:rPr>
        <w:t xml:space="preserve"> </w:t>
      </w:r>
      <w:r w:rsidR="00B84717" w:rsidRPr="009C1057">
        <w:rPr>
          <w:u w:val="single"/>
        </w:rPr>
        <w:t xml:space="preserve">to </w:t>
      </w:r>
      <w:r w:rsidR="00C13EB3" w:rsidRPr="009C1057">
        <w:rPr>
          <w:u w:val="single"/>
        </w:rPr>
        <w:t>the bid opening</w:t>
      </w:r>
      <w:r w:rsidR="008D73E3" w:rsidRPr="009C1057">
        <w:rPr>
          <w:u w:val="single"/>
          <w:lang w:val="en-US"/>
        </w:rPr>
        <w:t>, the LSO must confirm that the previously identified wage decision is still applicable</w:t>
      </w:r>
      <w:r w:rsidR="002C69F9" w:rsidRPr="009C1057">
        <w:rPr>
          <w:u w:val="single"/>
          <w:lang w:val="en-US"/>
        </w:rPr>
        <w:t>.</w:t>
      </w:r>
    </w:p>
    <w:p w14:paraId="6569F1B2" w14:textId="77777777" w:rsidR="002C69F9" w:rsidRDefault="002C69F9" w:rsidP="007D3FBF">
      <w:pPr>
        <w:pStyle w:val="2BULLETArial11"/>
      </w:pPr>
      <w:r>
        <w:t>S</w:t>
      </w:r>
      <w:r w:rsidR="008D73E3">
        <w:t>ave a copy of the wage decision with the current print date for the local file</w:t>
      </w:r>
      <w:r>
        <w:t>; and</w:t>
      </w:r>
    </w:p>
    <w:p w14:paraId="2C6A2B68" w14:textId="1A3131F9" w:rsidR="002C69F9" w:rsidRDefault="002C69F9" w:rsidP="007D3FBF">
      <w:pPr>
        <w:pStyle w:val="2BULLETArial11"/>
      </w:pPr>
      <w:r>
        <w:t xml:space="preserve">Provide the date </w:t>
      </w:r>
      <w:r w:rsidR="000F5E43">
        <w:t xml:space="preserve">in </w:t>
      </w:r>
      <w:r>
        <w:t xml:space="preserve">the 10 Day Verification field in the </w:t>
      </w:r>
      <w:r w:rsidRPr="009C1057">
        <w:rPr>
          <w:i/>
          <w:iCs/>
        </w:rPr>
        <w:t xml:space="preserve">Pre-Selection </w:t>
      </w:r>
      <w:r w:rsidR="001671C9" w:rsidRPr="009C1057">
        <w:rPr>
          <w:i/>
          <w:iCs/>
        </w:rPr>
        <w:t>Clearance</w:t>
      </w:r>
      <w:r>
        <w:t xml:space="preserve"> section of the </w:t>
      </w:r>
      <w:r w:rsidR="00176561">
        <w:t>MSR</w:t>
      </w:r>
      <w:r>
        <w:t xml:space="preserve"> </w:t>
      </w:r>
      <w:r w:rsidR="00EA5B2C">
        <w:t xml:space="preserve">Main </w:t>
      </w:r>
      <w:r>
        <w:t xml:space="preserve">page </w:t>
      </w:r>
      <w:r w:rsidR="00EA5B2C">
        <w:t xml:space="preserve">in </w:t>
      </w:r>
      <w:r>
        <w:t>TDA-GO</w:t>
      </w:r>
      <w:r w:rsidR="00802AAA">
        <w:t xml:space="preserve">, </w:t>
      </w:r>
      <w:proofErr w:type="gramStart"/>
      <w:r w:rsidR="002668CE" w:rsidRPr="00D2447F">
        <w:rPr>
          <w:color w:val="2F5496" w:themeColor="accent1" w:themeShade="BF"/>
        </w:rPr>
        <w:t xml:space="preserve">including </w:t>
      </w:r>
      <w:r w:rsidR="00802AAA" w:rsidRPr="00D2447F">
        <w:rPr>
          <w:color w:val="2F5496" w:themeColor="accent1" w:themeShade="BF"/>
        </w:rPr>
        <w:t xml:space="preserve"> a</w:t>
      </w:r>
      <w:proofErr w:type="gramEnd"/>
      <w:r w:rsidR="00802AAA" w:rsidRPr="00D2447F">
        <w:rPr>
          <w:color w:val="2F5496" w:themeColor="accent1" w:themeShade="BF"/>
        </w:rPr>
        <w:t xml:space="preserve"> screenshot of the wage decision showing no change to the previously approved wage decision</w:t>
      </w:r>
    </w:p>
    <w:p w14:paraId="00100449" w14:textId="77777777" w:rsidR="002C69F9" w:rsidRPr="006B7852" w:rsidRDefault="002C69F9" w:rsidP="007D3FBF">
      <w:pPr>
        <w:pStyle w:val="2BULLETArial11"/>
        <w:rPr>
          <w:snapToGrid w:val="0"/>
        </w:rPr>
      </w:pPr>
      <w:r w:rsidRPr="00E518B3">
        <w:t xml:space="preserve">If the </w:t>
      </w:r>
      <w:r w:rsidRPr="00AD13A6">
        <w:t xml:space="preserve">construction contract is </w:t>
      </w:r>
      <w:r>
        <w:t>selected through small purchase or approved non-competitive procedures,</w:t>
      </w:r>
      <w:r w:rsidRPr="00AD13A6">
        <w:t xml:space="preserve"> then the </w:t>
      </w:r>
      <w:r>
        <w:rPr>
          <w:b/>
        </w:rPr>
        <w:t xml:space="preserve">Confirmed Bid Opening Date </w:t>
      </w:r>
      <w:r w:rsidRPr="002C69F9">
        <w:rPr>
          <w:bCs/>
        </w:rPr>
        <w:t xml:space="preserve">on the </w:t>
      </w:r>
      <w:r w:rsidR="00176561">
        <w:rPr>
          <w:bCs/>
        </w:rPr>
        <w:t>MSR</w:t>
      </w:r>
      <w:r w:rsidRPr="002C69F9">
        <w:rPr>
          <w:bCs/>
        </w:rPr>
        <w:t xml:space="preserve"> page</w:t>
      </w:r>
      <w:r w:rsidRPr="00AD13A6">
        <w:t xml:space="preserve"> is the due date for Requests for Quotes on the work to be done</w:t>
      </w:r>
      <w:r w:rsidR="008C6C59">
        <w:t>.</w:t>
      </w:r>
      <w:r>
        <w:t xml:space="preserve"> </w:t>
      </w:r>
    </w:p>
    <w:p w14:paraId="01810D49" w14:textId="179E0659" w:rsidR="008D73E3" w:rsidRDefault="008D73E3" w:rsidP="007D3FBF">
      <w:pPr>
        <w:pStyle w:val="1BODYArial11"/>
        <w:spacing w:line="240" w:lineRule="auto"/>
      </w:pPr>
    </w:p>
    <w:p w14:paraId="24663DBB" w14:textId="323DCF76" w:rsidR="00E25CCF" w:rsidRPr="009C1057" w:rsidRDefault="00E25CCF" w:rsidP="007D3FBF">
      <w:pPr>
        <w:pStyle w:val="1BODYArial11"/>
        <w:spacing w:line="240" w:lineRule="auto"/>
        <w:rPr>
          <w:lang w:val="en-US"/>
        </w:rPr>
      </w:pPr>
      <w:r w:rsidRPr="00BC79FA">
        <w:rPr>
          <w:b/>
          <w:bCs/>
          <w:lang w:val="en-US"/>
        </w:rPr>
        <w:t>BEST PRACTICE</w:t>
      </w:r>
      <w:r w:rsidRPr="00BC79FA">
        <w:rPr>
          <w:b/>
          <w:bCs/>
        </w:rPr>
        <w:t>:</w:t>
      </w:r>
      <w:r>
        <w:rPr>
          <w:b/>
          <w:bCs/>
          <w:lang w:val="en-US"/>
        </w:rPr>
        <w:t xml:space="preserve"> Once the project description is known, create the MSR for construction and input the project description and wage decision number. This will allow the Labor Specialist to review and confirm or recommend a more appropriate wage decision in a timely manner.</w:t>
      </w:r>
    </w:p>
    <w:p w14:paraId="19CBF892" w14:textId="77777777" w:rsidR="00E25CCF" w:rsidRDefault="00E25CCF" w:rsidP="007D3FBF">
      <w:pPr>
        <w:pStyle w:val="1BODYArial11"/>
        <w:spacing w:line="240" w:lineRule="auto"/>
      </w:pPr>
    </w:p>
    <w:p w14:paraId="4EE755CE" w14:textId="629D6A11" w:rsidR="008C6C59" w:rsidRDefault="00134833" w:rsidP="007D3FBF">
      <w:pPr>
        <w:pStyle w:val="1BODYArial11"/>
        <w:spacing w:line="240" w:lineRule="auto"/>
        <w:rPr>
          <w:lang w:val="en-US"/>
        </w:rPr>
      </w:pPr>
      <w:r>
        <w:t>Wage rates may be modified until bids are open.</w:t>
      </w:r>
      <w:r w:rsidR="0031567F">
        <w:rPr>
          <w:lang w:val="en-US"/>
        </w:rPr>
        <w:t xml:space="preserve"> </w:t>
      </w:r>
      <w:r w:rsidR="008C6C59">
        <w:t xml:space="preserve">The Ten Day Confirmation does </w:t>
      </w:r>
      <w:r w:rsidR="008C6C59" w:rsidRPr="003306C9">
        <w:rPr>
          <w:b/>
          <w:bCs/>
        </w:rPr>
        <w:t xml:space="preserve">not </w:t>
      </w:r>
      <w:r w:rsidR="008C6C59" w:rsidRPr="00341329">
        <w:t>lock in</w:t>
      </w:r>
      <w:r w:rsidR="008C6C59">
        <w:t xml:space="preserve"> wage rates</w:t>
      </w:r>
      <w:r w:rsidR="008451DD">
        <w:rPr>
          <w:lang w:val="en-US"/>
        </w:rPr>
        <w:t>;</w:t>
      </w:r>
      <w:r>
        <w:rPr>
          <w:lang w:val="en-US"/>
        </w:rPr>
        <w:t xml:space="preserve"> however,</w:t>
      </w:r>
      <w:r w:rsidR="008C6C59">
        <w:t xml:space="preserve"> TDA considers </w:t>
      </w:r>
      <w:r w:rsidR="008C6C59">
        <w:rPr>
          <w:lang w:val="en-US"/>
        </w:rPr>
        <w:t>five</w:t>
      </w:r>
      <w:r w:rsidR="008C6C59">
        <w:t xml:space="preserve"> or more </w:t>
      </w:r>
      <w:r w:rsidR="008C6C59" w:rsidRPr="00AD13A6">
        <w:t xml:space="preserve">days prior to bid opening to be a </w:t>
      </w:r>
      <w:r w:rsidR="008C6C59" w:rsidRPr="009C1057">
        <w:t>reasonable amount of time</w:t>
      </w:r>
      <w:r w:rsidR="008E5B96">
        <w:rPr>
          <w:lang w:val="en-US"/>
        </w:rPr>
        <w:t xml:space="preserve"> </w:t>
      </w:r>
      <w:r w:rsidR="008C6C59" w:rsidRPr="00AD13A6">
        <w:t>to notify prospective bidders</w:t>
      </w:r>
      <w:r w:rsidR="008C6C59">
        <w:rPr>
          <w:lang w:val="en-US"/>
        </w:rPr>
        <w:t xml:space="preserve"> of any changes to the wage decision</w:t>
      </w:r>
      <w:r w:rsidR="008C6C59" w:rsidRPr="00AD13A6">
        <w:t>.</w:t>
      </w:r>
      <w:r w:rsidR="00F32CA5">
        <w:rPr>
          <w:rStyle w:val="FootnoteReference"/>
        </w:rPr>
        <w:footnoteReference w:id="2"/>
      </w:r>
      <w:r w:rsidR="008C6C59" w:rsidRPr="00AD13A6">
        <w:t xml:space="preserve"> </w:t>
      </w:r>
    </w:p>
    <w:p w14:paraId="1BD38E62" w14:textId="77777777" w:rsidR="008C6C59" w:rsidRDefault="008C6C59" w:rsidP="007D3FBF">
      <w:pPr>
        <w:pStyle w:val="1BODYArial11"/>
        <w:spacing w:line="240" w:lineRule="auto"/>
        <w:rPr>
          <w:lang w:val="en-US"/>
        </w:rPr>
      </w:pPr>
    </w:p>
    <w:p w14:paraId="1E09F389" w14:textId="770388B8" w:rsidR="008C6C59" w:rsidRPr="00CD2364" w:rsidRDefault="00134833" w:rsidP="007D3FBF">
      <w:pPr>
        <w:pStyle w:val="1BODYArial11"/>
        <w:spacing w:line="240" w:lineRule="auto"/>
        <w:rPr>
          <w:b/>
          <w:bCs/>
          <w:lang w:val="en-US"/>
        </w:rPr>
      </w:pPr>
      <w:r w:rsidRPr="00CD2364">
        <w:rPr>
          <w:b/>
          <w:bCs/>
          <w:lang w:val="en-US"/>
        </w:rPr>
        <w:t>If the w</w:t>
      </w:r>
      <w:r w:rsidR="008C6C59" w:rsidRPr="00CD2364">
        <w:rPr>
          <w:b/>
          <w:bCs/>
          <w:lang w:val="en-US"/>
        </w:rPr>
        <w:t xml:space="preserve">age </w:t>
      </w:r>
      <w:r w:rsidRPr="00CD2364">
        <w:rPr>
          <w:b/>
          <w:bCs/>
          <w:lang w:val="en-US"/>
        </w:rPr>
        <w:t>d</w:t>
      </w:r>
      <w:r w:rsidR="008C6C59" w:rsidRPr="00CD2364">
        <w:rPr>
          <w:b/>
          <w:bCs/>
          <w:lang w:val="en-US"/>
        </w:rPr>
        <w:t xml:space="preserve">ecision </w:t>
      </w:r>
      <w:r w:rsidRPr="00CD2364">
        <w:rPr>
          <w:b/>
          <w:bCs/>
          <w:lang w:val="en-US"/>
        </w:rPr>
        <w:t>is m</w:t>
      </w:r>
      <w:r w:rsidR="008C6C59" w:rsidRPr="00CD2364">
        <w:rPr>
          <w:b/>
          <w:bCs/>
          <w:lang w:val="en-US"/>
        </w:rPr>
        <w:t xml:space="preserve">odified </w:t>
      </w:r>
      <w:r w:rsidRPr="00CD2364">
        <w:rPr>
          <w:b/>
          <w:bCs/>
          <w:lang w:val="en-US"/>
        </w:rPr>
        <w:t>p</w:t>
      </w:r>
      <w:r w:rsidR="008C6C59" w:rsidRPr="00CD2364">
        <w:rPr>
          <w:b/>
          <w:bCs/>
          <w:lang w:val="en-US"/>
        </w:rPr>
        <w:t xml:space="preserve">rior to </w:t>
      </w:r>
      <w:r w:rsidRPr="00CD2364">
        <w:rPr>
          <w:b/>
          <w:bCs/>
          <w:lang w:val="en-US"/>
        </w:rPr>
        <w:t>b</w:t>
      </w:r>
      <w:r w:rsidR="008C6C59" w:rsidRPr="00CD2364">
        <w:rPr>
          <w:b/>
          <w:bCs/>
          <w:lang w:val="en-US"/>
        </w:rPr>
        <w:t xml:space="preserve">id </w:t>
      </w:r>
      <w:r w:rsidRPr="00CD2364">
        <w:rPr>
          <w:b/>
          <w:bCs/>
          <w:lang w:val="en-US"/>
        </w:rPr>
        <w:t>o</w:t>
      </w:r>
      <w:r w:rsidR="008C6C59" w:rsidRPr="00CD2364">
        <w:rPr>
          <w:b/>
          <w:bCs/>
          <w:lang w:val="en-US"/>
        </w:rPr>
        <w:t>pening</w:t>
      </w:r>
      <w:r w:rsidRPr="00CD2364">
        <w:rPr>
          <w:b/>
          <w:bCs/>
          <w:lang w:val="en-US"/>
        </w:rPr>
        <w:t>, and</w:t>
      </w:r>
      <w:r w:rsidR="00F32CA5">
        <w:rPr>
          <w:b/>
          <w:bCs/>
          <w:lang w:val="en-US"/>
        </w:rPr>
        <w:t>:</w:t>
      </w:r>
    </w:p>
    <w:p w14:paraId="7ED08F81" w14:textId="04AB8448" w:rsidR="008C6C59" w:rsidRDefault="00F32CA5" w:rsidP="007D3FBF">
      <w:pPr>
        <w:pStyle w:val="2BULLETArial11"/>
      </w:pPr>
      <w:r>
        <w:rPr>
          <w:b/>
          <w:bCs/>
        </w:rPr>
        <w:t>C</w:t>
      </w:r>
      <w:r w:rsidR="008C6C59" w:rsidRPr="00CD2364">
        <w:rPr>
          <w:b/>
          <w:bCs/>
        </w:rPr>
        <w:t xml:space="preserve">onfirmed </w:t>
      </w:r>
      <w:r w:rsidR="00CD2364" w:rsidRPr="00CD2364">
        <w:rPr>
          <w:b/>
          <w:bCs/>
        </w:rPr>
        <w:t>si</w:t>
      </w:r>
      <w:r w:rsidR="008C6C59" w:rsidRPr="00CD2364">
        <w:rPr>
          <w:b/>
          <w:bCs/>
        </w:rPr>
        <w:t xml:space="preserve">x to </w:t>
      </w:r>
      <w:r w:rsidR="00CD2364" w:rsidRPr="00CD2364">
        <w:rPr>
          <w:b/>
          <w:bCs/>
        </w:rPr>
        <w:t>t</w:t>
      </w:r>
      <w:r w:rsidR="008C6C59" w:rsidRPr="00CD2364">
        <w:rPr>
          <w:b/>
          <w:bCs/>
        </w:rPr>
        <w:t>en days prior to bid opening</w:t>
      </w:r>
      <w:r w:rsidR="00134833">
        <w:t xml:space="preserve"> –</w:t>
      </w:r>
      <w:r w:rsidR="008C6C59">
        <w:t xml:space="preserve"> </w:t>
      </w:r>
      <w:r w:rsidR="00CD2364">
        <w:t>I</w:t>
      </w:r>
      <w:r w:rsidR="008C6C59">
        <w:t>ncorporate the revised wage decision into the bid documents as an addendum and notify all potential bidders.</w:t>
      </w:r>
    </w:p>
    <w:p w14:paraId="221E45AC" w14:textId="752C892E" w:rsidR="008C6C59" w:rsidRDefault="00F32CA5" w:rsidP="007D3FBF">
      <w:pPr>
        <w:pStyle w:val="2BULLETArial11"/>
      </w:pPr>
      <w:r>
        <w:rPr>
          <w:b/>
          <w:bCs/>
        </w:rPr>
        <w:t>C</w:t>
      </w:r>
      <w:r w:rsidR="008C6C59" w:rsidRPr="00CD2364">
        <w:rPr>
          <w:b/>
          <w:bCs/>
        </w:rPr>
        <w:t xml:space="preserve">onfirmed </w:t>
      </w:r>
      <w:r w:rsidR="00CD2364" w:rsidRPr="00CD2364">
        <w:rPr>
          <w:b/>
          <w:bCs/>
        </w:rPr>
        <w:t>z</w:t>
      </w:r>
      <w:r w:rsidR="008C6C59" w:rsidRPr="00CD2364">
        <w:rPr>
          <w:b/>
          <w:bCs/>
        </w:rPr>
        <w:t xml:space="preserve">ero to </w:t>
      </w:r>
      <w:r w:rsidR="000D01C1" w:rsidRPr="00D2447F">
        <w:rPr>
          <w:b/>
          <w:bCs/>
          <w:color w:val="2F5496" w:themeColor="accent1" w:themeShade="BF"/>
        </w:rPr>
        <w:t xml:space="preserve">five </w:t>
      </w:r>
      <w:r w:rsidR="008C6C59" w:rsidRPr="00CD2364">
        <w:rPr>
          <w:b/>
          <w:bCs/>
        </w:rPr>
        <w:t>days prior to bid opening</w:t>
      </w:r>
      <w:r w:rsidR="00134833">
        <w:t xml:space="preserve"> –</w:t>
      </w:r>
      <w:r w:rsidR="008C6C59">
        <w:t xml:space="preserve"> </w:t>
      </w:r>
      <w:r w:rsidR="00CD2364">
        <w:t>C</w:t>
      </w:r>
      <w:r w:rsidR="008C6C59">
        <w:t>ancel the bid opening - incorporate the revised wage decision into the bid documents and set a new bid opening date that allows sufficient time for all required bid notices.</w:t>
      </w:r>
    </w:p>
    <w:p w14:paraId="7E638A0F" w14:textId="33914599" w:rsidR="008C6C59" w:rsidRDefault="00F32CA5" w:rsidP="007D3FBF">
      <w:pPr>
        <w:pStyle w:val="2BULLETArial11"/>
      </w:pPr>
      <w:r>
        <w:rPr>
          <w:b/>
          <w:bCs/>
        </w:rPr>
        <w:t>D</w:t>
      </w:r>
      <w:r w:rsidR="008C6C59" w:rsidRPr="00CD2364">
        <w:rPr>
          <w:b/>
          <w:bCs/>
        </w:rPr>
        <w:t>iscovered after bid opening</w:t>
      </w:r>
      <w:r w:rsidR="008C6C59">
        <w:t xml:space="preserve"> – </w:t>
      </w:r>
      <w:r w:rsidR="00CD2364">
        <w:t>N</w:t>
      </w:r>
      <w:r w:rsidR="008C6C59">
        <w:t>otify TDA staff immediately.  In addition to</w:t>
      </w:r>
      <w:r w:rsidR="008C6C59" w:rsidRPr="00FA1769">
        <w:t xml:space="preserve"> </w:t>
      </w:r>
      <w:r w:rsidR="008C6C59">
        <w:t>a corrective action plan, consequences for the Grant Recipient may range from instructions to reject all bids to disallowed costs.</w:t>
      </w:r>
      <w:r w:rsidR="008C6C59" w:rsidRPr="008C6C59">
        <w:t xml:space="preserve"> </w:t>
      </w:r>
      <w:r w:rsidR="008C6C59">
        <w:t>The construction contractor is responsible for meet</w:t>
      </w:r>
      <w:r w:rsidR="00672FDC">
        <w:t>ing</w:t>
      </w:r>
      <w:r w:rsidR="008C6C59">
        <w:t xml:space="preserve"> the requirements of the modified wage decision and any compensation demanded by the contractor </w:t>
      </w:r>
      <w:proofErr w:type="gramStart"/>
      <w:r w:rsidR="008C6C59">
        <w:t>in order to</w:t>
      </w:r>
      <w:proofErr w:type="gramEnd"/>
      <w:r w:rsidR="008C6C59">
        <w:t xml:space="preserve"> meet these requirements are not eligible costs for grant or match funding.</w:t>
      </w:r>
    </w:p>
    <w:p w14:paraId="4BB45297" w14:textId="6727CA2F" w:rsidR="00134833" w:rsidRPr="00134833" w:rsidRDefault="00F32CA5" w:rsidP="007D3FBF">
      <w:pPr>
        <w:pStyle w:val="2BULLETArial11"/>
      </w:pPr>
      <w:r>
        <w:rPr>
          <w:b/>
          <w:bCs/>
        </w:rPr>
        <w:t>F</w:t>
      </w:r>
      <w:r w:rsidR="008C6C59" w:rsidRPr="00CD2364">
        <w:rPr>
          <w:b/>
          <w:bCs/>
        </w:rPr>
        <w:t>or small purchase and approved non-competitive procurement procedures</w:t>
      </w:r>
      <w:r w:rsidR="00CD2364">
        <w:t xml:space="preserve"> – </w:t>
      </w:r>
      <w:r w:rsidR="004E1E32" w:rsidRPr="00134833">
        <w:t>I</w:t>
      </w:r>
      <w:r w:rsidR="004E1E32">
        <w:t>f</w:t>
      </w:r>
      <w:r w:rsidR="004E1E32" w:rsidRPr="00134833">
        <w:t xml:space="preserve"> </w:t>
      </w:r>
      <w:r w:rsidR="008C6C59" w:rsidRPr="00134833">
        <w:t>less than five days are allotted to obtain quotes, the Grant Recipient must at a minimum confirm the wage decision prior to the due date for the quotes.</w:t>
      </w:r>
    </w:p>
    <w:p w14:paraId="5FD14F7C" w14:textId="7C84517A" w:rsidR="008C6C59" w:rsidRPr="0031567F" w:rsidRDefault="00F32CA5" w:rsidP="007D3FBF">
      <w:pPr>
        <w:pStyle w:val="2BULLETArial11"/>
      </w:pPr>
      <w:r>
        <w:rPr>
          <w:b/>
          <w:bCs/>
        </w:rPr>
        <w:t>T</w:t>
      </w:r>
      <w:r w:rsidR="00134833" w:rsidRPr="00CD2364">
        <w:rPr>
          <w:b/>
          <w:bCs/>
        </w:rPr>
        <w:t xml:space="preserve">he Grant Recipient or </w:t>
      </w:r>
      <w:r w:rsidR="008C6C59" w:rsidRPr="00CD2364">
        <w:rPr>
          <w:b/>
          <w:bCs/>
        </w:rPr>
        <w:t xml:space="preserve">TDA is notified of changes to </w:t>
      </w:r>
      <w:r w:rsidR="00134833" w:rsidRPr="00CD2364">
        <w:rPr>
          <w:b/>
          <w:bCs/>
        </w:rPr>
        <w:t>a</w:t>
      </w:r>
      <w:r w:rsidR="008C6C59" w:rsidRPr="00CD2364">
        <w:rPr>
          <w:b/>
          <w:bCs/>
        </w:rPr>
        <w:t xml:space="preserve"> </w:t>
      </w:r>
      <w:r w:rsidR="00134833" w:rsidRPr="00CD2364">
        <w:rPr>
          <w:b/>
          <w:bCs/>
        </w:rPr>
        <w:t xml:space="preserve">properly </w:t>
      </w:r>
      <w:r w:rsidR="008C6C59" w:rsidRPr="00CD2364">
        <w:rPr>
          <w:b/>
          <w:bCs/>
        </w:rPr>
        <w:t>confirmed wage rate prior to the bid opening</w:t>
      </w:r>
      <w:r w:rsidR="00134833">
        <w:t xml:space="preserve"> – </w:t>
      </w:r>
      <w:r w:rsidR="00CD2364">
        <w:t>N</w:t>
      </w:r>
      <w:r w:rsidR="00134833">
        <w:t xml:space="preserve">otify TDA immediately.  TDA staff will determine whether there is sufficient time </w:t>
      </w:r>
      <w:r w:rsidR="008C6C59" w:rsidRPr="00134833">
        <w:t>to notify bidders of the change</w:t>
      </w:r>
      <w:r w:rsidR="00134833">
        <w:t>, and</w:t>
      </w:r>
      <w:r w:rsidR="00A14E93">
        <w:t>,</w:t>
      </w:r>
      <w:r w:rsidR="00134833">
        <w:t xml:space="preserve"> therefore</w:t>
      </w:r>
      <w:r w:rsidR="00A14E93">
        <w:t>,</w:t>
      </w:r>
      <w:r w:rsidR="00134833">
        <w:t xml:space="preserve"> whether the original or modified wage decision must </w:t>
      </w:r>
      <w:r w:rsidR="008C6C59" w:rsidRPr="00134833">
        <w:t>be included in the bid and contract documents.</w:t>
      </w:r>
    </w:p>
    <w:p w14:paraId="7BE31FB6" w14:textId="77777777" w:rsidR="008C6C59" w:rsidRDefault="008C6C59" w:rsidP="007D3FBF">
      <w:pPr>
        <w:pStyle w:val="1BODYArial11"/>
        <w:spacing w:line="240" w:lineRule="auto"/>
      </w:pPr>
    </w:p>
    <w:p w14:paraId="534476E3" w14:textId="77777777" w:rsidR="002C69F9" w:rsidRDefault="00672FDC" w:rsidP="007D3FBF">
      <w:pPr>
        <w:pStyle w:val="1BODYArial11"/>
        <w:spacing w:line="240" w:lineRule="auto"/>
        <w:rPr>
          <w:lang w:val="en-US"/>
        </w:rPr>
      </w:pPr>
      <w:r>
        <w:rPr>
          <w:lang w:val="en-US"/>
        </w:rPr>
        <w:t>If the Grant Recipient does not formally award the construction contract within 90 days of the bid opening, the wage decision is no longer “locked in” and must be confirmed once again. If the original decision has been modified, the construction contractor is responsible for meeting the requirements of the modified wage decision.</w:t>
      </w:r>
    </w:p>
    <w:p w14:paraId="668D0706" w14:textId="5A533585" w:rsidR="00EE77D6" w:rsidRDefault="00EE77D6" w:rsidP="007D3FBF">
      <w:pPr>
        <w:pStyle w:val="1BODYArial11"/>
        <w:spacing w:line="240" w:lineRule="auto"/>
        <w:rPr>
          <w:lang w:val="en-US"/>
        </w:rPr>
      </w:pPr>
    </w:p>
    <w:p w14:paraId="4B535236" w14:textId="77777777" w:rsidR="00F12537" w:rsidRPr="00B67E4F" w:rsidRDefault="003306C9" w:rsidP="007D3FBF">
      <w:pPr>
        <w:tabs>
          <w:tab w:val="left" w:pos="1260"/>
        </w:tabs>
        <w:jc w:val="both"/>
        <w:rPr>
          <w:rFonts w:cs="Arial"/>
          <w:b/>
          <w:szCs w:val="22"/>
        </w:rPr>
      </w:pPr>
      <w:r>
        <w:rPr>
          <w:rFonts w:cs="Arial"/>
          <w:b/>
          <w:szCs w:val="22"/>
        </w:rPr>
        <w:t>Step</w:t>
      </w:r>
      <w:r w:rsidR="00F12537" w:rsidRPr="00B67E4F">
        <w:rPr>
          <w:rFonts w:cs="Arial"/>
          <w:b/>
          <w:szCs w:val="22"/>
        </w:rPr>
        <w:t xml:space="preserve"> 6</w:t>
      </w:r>
      <w:r w:rsidR="00CD2364">
        <w:rPr>
          <w:rFonts w:cs="Arial"/>
          <w:szCs w:val="22"/>
        </w:rPr>
        <w:t xml:space="preserve">. </w:t>
      </w:r>
      <w:r w:rsidR="00F12537" w:rsidRPr="00B67E4F">
        <w:rPr>
          <w:rFonts w:cs="Arial"/>
          <w:b/>
          <w:szCs w:val="22"/>
        </w:rPr>
        <w:t xml:space="preserve">Award the </w:t>
      </w:r>
      <w:r w:rsidR="008D33F3">
        <w:rPr>
          <w:rFonts w:cs="Arial"/>
          <w:b/>
          <w:szCs w:val="22"/>
        </w:rPr>
        <w:t>C</w:t>
      </w:r>
      <w:r w:rsidR="00F12537" w:rsidRPr="00B67E4F">
        <w:rPr>
          <w:rFonts w:cs="Arial"/>
          <w:b/>
          <w:szCs w:val="22"/>
        </w:rPr>
        <w:t xml:space="preserve">onstruction </w:t>
      </w:r>
      <w:r w:rsidR="008D33F3">
        <w:rPr>
          <w:rFonts w:cs="Arial"/>
          <w:b/>
          <w:szCs w:val="22"/>
        </w:rPr>
        <w:t>C</w:t>
      </w:r>
      <w:r w:rsidR="00F12537" w:rsidRPr="00B67E4F">
        <w:rPr>
          <w:rFonts w:cs="Arial"/>
          <w:b/>
          <w:szCs w:val="22"/>
        </w:rPr>
        <w:t>ontract</w:t>
      </w:r>
    </w:p>
    <w:p w14:paraId="5685C412" w14:textId="0A11DB0A" w:rsidR="00C4494F" w:rsidRPr="00B67E4F" w:rsidRDefault="00F12537" w:rsidP="007D3FBF">
      <w:pPr>
        <w:pStyle w:val="1BODYArial11"/>
        <w:spacing w:line="240" w:lineRule="auto"/>
      </w:pPr>
      <w:r w:rsidRPr="00B67E4F">
        <w:t>Each contract subject to Davis-Bacon labor standards requirements must include contract provisions containing labor standards clauses an</w:t>
      </w:r>
      <w:r w:rsidR="0062352B">
        <w:t xml:space="preserve">d a Davis-Bacon wage decision. </w:t>
      </w:r>
      <w:r w:rsidRPr="00B67E4F">
        <w:t xml:space="preserve">A sample construction contract that may be used for TxCDBG projects can be found in </w:t>
      </w:r>
      <w:r w:rsidR="00307C40" w:rsidRPr="00307C40">
        <w:rPr>
          <w:bCs/>
          <w:i/>
          <w:iCs/>
        </w:rPr>
        <w:t xml:space="preserve">Appendix </w:t>
      </w:r>
      <w:r w:rsidR="00C147D4" w:rsidRPr="00307C40">
        <w:rPr>
          <w:bCs/>
          <w:i/>
          <w:iCs/>
        </w:rPr>
        <w:t>F</w:t>
      </w:r>
      <w:r w:rsidRPr="00B67E4F">
        <w:t>.</w:t>
      </w:r>
      <w:r w:rsidR="008D33F3">
        <w:rPr>
          <w:lang w:val="en-US"/>
        </w:rPr>
        <w:t xml:space="preserve"> </w:t>
      </w:r>
      <w:r w:rsidR="009D392D">
        <w:rPr>
          <w:lang w:val="en-US"/>
        </w:rPr>
        <w:t>These are the</w:t>
      </w:r>
      <w:r w:rsidRPr="00B67E4F">
        <w:t xml:space="preserve"> labor standards clauses</w:t>
      </w:r>
      <w:r w:rsidR="00BC79FA">
        <w:rPr>
          <w:lang w:val="en-US"/>
        </w:rPr>
        <w:t xml:space="preserve"> to include</w:t>
      </w:r>
      <w:r w:rsidR="00C4494F" w:rsidRPr="00B67E4F">
        <w:t>:</w:t>
      </w:r>
      <w:r w:rsidRPr="00B67E4F">
        <w:t xml:space="preserve"> </w:t>
      </w:r>
    </w:p>
    <w:p w14:paraId="64BFDA4D" w14:textId="77777777" w:rsidR="00C4494F" w:rsidRPr="00B67E4F" w:rsidRDefault="008E477C" w:rsidP="007D3FBF">
      <w:pPr>
        <w:pStyle w:val="2BULLETArial11"/>
      </w:pPr>
      <w:r>
        <w:t>D</w:t>
      </w:r>
      <w:r w:rsidR="00F12537" w:rsidRPr="00B67E4F">
        <w:t>escribe the responsibilities of the construction contractor concerning D</w:t>
      </w:r>
      <w:r w:rsidR="00C4494F" w:rsidRPr="00B67E4F">
        <w:t xml:space="preserve">avis-Bacon </w:t>
      </w:r>
      <w:proofErr w:type="gramStart"/>
      <w:r w:rsidR="00C4494F" w:rsidRPr="00B67E4F">
        <w:t>wages;</w:t>
      </w:r>
      <w:proofErr w:type="gramEnd"/>
      <w:r w:rsidR="00C4494F" w:rsidRPr="00B67E4F">
        <w:t xml:space="preserve"> </w:t>
      </w:r>
    </w:p>
    <w:p w14:paraId="2F26AE2A" w14:textId="77777777" w:rsidR="00C4494F" w:rsidRPr="00B67E4F" w:rsidRDefault="008E477C" w:rsidP="007D3FBF">
      <w:pPr>
        <w:pStyle w:val="2BULLETArial11"/>
      </w:pPr>
      <w:r>
        <w:t>O</w:t>
      </w:r>
      <w:r w:rsidR="00F12537" w:rsidRPr="00B67E4F">
        <w:t xml:space="preserve">bligate the construction contractor to comply with the labor </w:t>
      </w:r>
      <w:proofErr w:type="gramStart"/>
      <w:r w:rsidR="00F12537" w:rsidRPr="00B67E4F">
        <w:t>requirements</w:t>
      </w:r>
      <w:r w:rsidR="00C4494F" w:rsidRPr="00B67E4F">
        <w:t>;</w:t>
      </w:r>
      <w:proofErr w:type="gramEnd"/>
    </w:p>
    <w:p w14:paraId="79F45433" w14:textId="77777777" w:rsidR="00C4494F" w:rsidRPr="00B67E4F" w:rsidRDefault="008E477C" w:rsidP="007D3FBF">
      <w:pPr>
        <w:pStyle w:val="2BULLETArial11"/>
      </w:pPr>
      <w:r>
        <w:t>P</w:t>
      </w:r>
      <w:r w:rsidR="00F12537" w:rsidRPr="00B67E4F">
        <w:t xml:space="preserve">rovide for remedies in the event of violations, including withholding payments due to the construction contractor to ensure the payment of wages or liquidated </w:t>
      </w:r>
      <w:r w:rsidR="00C4494F" w:rsidRPr="00B67E4F">
        <w:t>damages; and</w:t>
      </w:r>
    </w:p>
    <w:p w14:paraId="2D4F2BA7" w14:textId="77777777" w:rsidR="00F12537" w:rsidRPr="00AD13A6" w:rsidRDefault="008E477C" w:rsidP="007D3FBF">
      <w:pPr>
        <w:pStyle w:val="2BULLETArial11"/>
      </w:pPr>
      <w:r w:rsidRPr="00AD13A6">
        <w:t>E</w:t>
      </w:r>
      <w:r w:rsidR="00F12537" w:rsidRPr="00AD13A6">
        <w:t xml:space="preserve">nable the LSO to enforce the Federal labor standards applicable to the project. </w:t>
      </w:r>
      <w:r w:rsidR="00BC79FA">
        <w:br/>
      </w:r>
    </w:p>
    <w:p w14:paraId="514A7AB6" w14:textId="38859196" w:rsidR="00255520" w:rsidRPr="006801D8" w:rsidRDefault="00BC79FA" w:rsidP="007D3FBF">
      <w:pPr>
        <w:pStyle w:val="1BODYArial11"/>
        <w:spacing w:line="240" w:lineRule="auto"/>
      </w:pPr>
      <w:r w:rsidRPr="00BC79FA">
        <w:rPr>
          <w:b/>
          <w:bCs/>
          <w:lang w:val="en-US"/>
        </w:rPr>
        <w:t>BEST PRACTICE</w:t>
      </w:r>
      <w:r w:rsidR="00337DA8" w:rsidRPr="00BC79FA">
        <w:rPr>
          <w:b/>
          <w:bCs/>
        </w:rPr>
        <w:t>:</w:t>
      </w:r>
      <w:r w:rsidR="00337DA8" w:rsidRPr="00AD13A6">
        <w:t xml:space="preserve"> Incorporate</w:t>
      </w:r>
      <w:r w:rsidR="00255520" w:rsidRPr="00AD13A6">
        <w:t xml:space="preserve"> </w:t>
      </w:r>
      <w:r w:rsidR="00255520" w:rsidRPr="00BC79FA">
        <w:rPr>
          <w:i/>
          <w:iCs/>
        </w:rPr>
        <w:t>HUD Labor Standards</w:t>
      </w:r>
      <w:r w:rsidR="00255520" w:rsidRPr="00AD13A6">
        <w:t xml:space="preserve"> </w:t>
      </w:r>
      <w:r w:rsidRPr="00BC79FA">
        <w:rPr>
          <w:b/>
          <w:bCs/>
          <w:lang w:val="en-US"/>
        </w:rPr>
        <w:t>(</w:t>
      </w:r>
      <w:r w:rsidR="00337DA8" w:rsidRPr="00BC79FA">
        <w:rPr>
          <w:b/>
          <w:bCs/>
        </w:rPr>
        <w:t xml:space="preserve">Form </w:t>
      </w:r>
      <w:r w:rsidR="00255520" w:rsidRPr="00BC79FA">
        <w:rPr>
          <w:b/>
          <w:bCs/>
        </w:rPr>
        <w:t>4010</w:t>
      </w:r>
      <w:r w:rsidRPr="00BC79FA">
        <w:rPr>
          <w:b/>
          <w:bCs/>
          <w:lang w:val="en-US"/>
        </w:rPr>
        <w:t>)</w:t>
      </w:r>
      <w:r w:rsidR="00AD13A6" w:rsidRPr="00AD13A6">
        <w:t xml:space="preserve"> </w:t>
      </w:r>
      <w:r w:rsidR="00255520" w:rsidRPr="00AD13A6">
        <w:t xml:space="preserve">in the construction contract </w:t>
      </w:r>
      <w:r w:rsidR="002F1DAF" w:rsidRPr="00AD13A6">
        <w:t xml:space="preserve">and provide </w:t>
      </w:r>
      <w:proofErr w:type="gramStart"/>
      <w:r w:rsidR="002F1DAF" w:rsidRPr="00AD13A6">
        <w:t>to</w:t>
      </w:r>
      <w:proofErr w:type="gramEnd"/>
      <w:r w:rsidR="002F1DAF" w:rsidRPr="00AD13A6">
        <w:t xml:space="preserve"> contractor with </w:t>
      </w:r>
      <w:r w:rsidR="00337DA8" w:rsidRPr="00AD13A6">
        <w:t>p</w:t>
      </w:r>
      <w:r w:rsidR="00255520" w:rsidRPr="00AD13A6">
        <w:t>reconstruction information.</w:t>
      </w:r>
      <w:r>
        <w:rPr>
          <w:lang w:val="en-US"/>
        </w:rPr>
        <w:t xml:space="preserve"> </w:t>
      </w:r>
      <w:r w:rsidR="00C830D8" w:rsidRPr="006801D8">
        <w:t xml:space="preserve">See </w:t>
      </w:r>
      <w:r w:rsidR="00C830D8" w:rsidRPr="00307C40">
        <w:rPr>
          <w:i/>
          <w:iCs/>
        </w:rPr>
        <w:t>Appendix A</w:t>
      </w:r>
      <w:r w:rsidR="00C830D8" w:rsidRPr="008E5B96">
        <w:t xml:space="preserve"> for</w:t>
      </w:r>
      <w:r w:rsidR="00C830D8" w:rsidRPr="006801D8">
        <w:t xml:space="preserve"> </w:t>
      </w:r>
      <w:r w:rsidR="00D4226C">
        <w:rPr>
          <w:lang w:val="en-US"/>
        </w:rPr>
        <w:t xml:space="preserve">a </w:t>
      </w:r>
      <w:r w:rsidR="00C830D8" w:rsidRPr="006801D8">
        <w:t>link to form</w:t>
      </w:r>
      <w:r w:rsidR="00EC6413">
        <w:t>.</w:t>
      </w:r>
    </w:p>
    <w:p w14:paraId="3152782D" w14:textId="77777777" w:rsidR="001671C9" w:rsidRDefault="001671C9" w:rsidP="007D3FBF">
      <w:pPr>
        <w:pStyle w:val="1BODYArial11"/>
        <w:spacing w:line="240" w:lineRule="auto"/>
        <w:rPr>
          <w:iCs/>
        </w:rPr>
      </w:pPr>
    </w:p>
    <w:p w14:paraId="43D92AF1" w14:textId="77777777" w:rsidR="00F12537" w:rsidRPr="004300D2" w:rsidRDefault="004A1E73" w:rsidP="007D3FBF">
      <w:pPr>
        <w:pStyle w:val="3BOLDArial11"/>
        <w:spacing w:line="240" w:lineRule="auto"/>
        <w:rPr>
          <w:i/>
        </w:rPr>
      </w:pPr>
      <w:r>
        <w:t xml:space="preserve">Step 7. </w:t>
      </w:r>
      <w:r w:rsidR="005105BF">
        <w:t xml:space="preserve">Identify </w:t>
      </w:r>
      <w:r w:rsidR="00F12537" w:rsidRPr="00E518B3">
        <w:t>Additional Classification</w:t>
      </w:r>
      <w:r w:rsidR="005105BF">
        <w:t>s</w:t>
      </w:r>
      <w:r w:rsidR="00F12537" w:rsidRPr="00E518B3">
        <w:t xml:space="preserve"> and Wage Rate</w:t>
      </w:r>
      <w:r w:rsidR="005105BF">
        <w:t>s Needed</w:t>
      </w:r>
      <w:r w:rsidR="007418A4" w:rsidRPr="00E518B3">
        <w:t xml:space="preserve">  </w:t>
      </w:r>
    </w:p>
    <w:p w14:paraId="7D513C29" w14:textId="11C2CF4A" w:rsidR="00F12537" w:rsidRPr="00B67E4F" w:rsidRDefault="007A7CFF" w:rsidP="007D3FBF">
      <w:pPr>
        <w:pStyle w:val="1BODYArial11"/>
        <w:spacing w:line="240" w:lineRule="auto"/>
      </w:pPr>
      <w:r>
        <w:rPr>
          <w:lang w:val="en-US"/>
        </w:rPr>
        <w:t xml:space="preserve">If the wage decision does not include a particular classification that is necessary for the project, </w:t>
      </w:r>
      <w:proofErr w:type="spellStart"/>
      <w:r>
        <w:rPr>
          <w:lang w:val="en-US"/>
        </w:rPr>
        <w:t>t</w:t>
      </w:r>
      <w:r w:rsidR="00F12537" w:rsidRPr="00B67E4F">
        <w:t>he</w:t>
      </w:r>
      <w:proofErr w:type="spellEnd"/>
      <w:r w:rsidR="00F12537" w:rsidRPr="00B67E4F">
        <w:t xml:space="preserve"> LSO </w:t>
      </w:r>
      <w:r w:rsidR="00D2447F">
        <w:t>must</w:t>
      </w:r>
      <w:r w:rsidR="00D2447F" w:rsidRPr="00B67E4F">
        <w:t xml:space="preserve"> </w:t>
      </w:r>
      <w:r w:rsidR="00F12537" w:rsidRPr="00B67E4F">
        <w:t>request an additional classification in writing</w:t>
      </w:r>
      <w:r>
        <w:rPr>
          <w:lang w:val="en-US"/>
        </w:rPr>
        <w:t>.</w:t>
      </w:r>
      <w:r w:rsidR="0031567F">
        <w:rPr>
          <w:lang w:val="en-US"/>
        </w:rPr>
        <w:t xml:space="preserve"> </w:t>
      </w:r>
      <w:r>
        <w:rPr>
          <w:lang w:val="en-US"/>
        </w:rPr>
        <w:t>Submit to TDA a</w:t>
      </w:r>
      <w:r w:rsidR="00F12537" w:rsidRPr="00B67E4F">
        <w:t xml:space="preserve"> </w:t>
      </w:r>
      <w:r w:rsidR="00F12537" w:rsidRPr="00B67E4F">
        <w:rPr>
          <w:i/>
        </w:rPr>
        <w:t>Request for Additional Classification and Rate</w:t>
      </w:r>
      <w:r w:rsidR="00F12537" w:rsidRPr="00B67E4F">
        <w:rPr>
          <w:b/>
        </w:rPr>
        <w:t xml:space="preserve"> (Form A70</w:t>
      </w:r>
      <w:r w:rsidR="0061171A" w:rsidRPr="00B67E4F">
        <w:rPr>
          <w:b/>
        </w:rPr>
        <w:t>5</w:t>
      </w:r>
      <w:r w:rsidR="00F12537" w:rsidRPr="00F3213A">
        <w:rPr>
          <w:b/>
        </w:rPr>
        <w:t>)</w:t>
      </w:r>
      <w:r w:rsidR="00F12E12" w:rsidRPr="00F3213A">
        <w:rPr>
          <w:b/>
        </w:rPr>
        <w:t xml:space="preserve">, </w:t>
      </w:r>
      <w:r w:rsidR="00F12E12" w:rsidRPr="00F3213A">
        <w:t xml:space="preserve">along with a copy of the applicable wage decision for that </w:t>
      </w:r>
      <w:r w:rsidR="003F676E">
        <w:t>specific</w:t>
      </w:r>
      <w:r w:rsidR="003F676E" w:rsidRPr="00F3213A">
        <w:t xml:space="preserve"> </w:t>
      </w:r>
      <w:r w:rsidR="00F12E12" w:rsidRPr="00F3213A">
        <w:t>construction contract</w:t>
      </w:r>
      <w:r w:rsidR="00F12537" w:rsidRPr="00F3213A">
        <w:t xml:space="preserve">. </w:t>
      </w:r>
      <w:r w:rsidR="00F12537" w:rsidRPr="00B67E4F">
        <w:t xml:space="preserve">The request </w:t>
      </w:r>
      <w:r w:rsidR="00094B49">
        <w:t>will</w:t>
      </w:r>
      <w:r w:rsidR="00094B49" w:rsidRPr="00B67E4F">
        <w:t xml:space="preserve"> </w:t>
      </w:r>
      <w:r w:rsidR="00F12537" w:rsidRPr="00B67E4F">
        <w:t xml:space="preserve">represent what the employer (prime contractor or subcontractor) wants to pay workers performing a particular set of duties and must meet the following </w:t>
      </w:r>
      <w:r w:rsidR="00324C8D">
        <w:t xml:space="preserve">U.S. </w:t>
      </w:r>
      <w:r w:rsidR="00F12537" w:rsidRPr="00B67E4F">
        <w:t>Department of Labor (DOL) regulations:</w:t>
      </w:r>
    </w:p>
    <w:p w14:paraId="307DDE37" w14:textId="77777777" w:rsidR="00F12537" w:rsidRPr="00B67E4F" w:rsidRDefault="008E477C" w:rsidP="007D3FBF">
      <w:pPr>
        <w:pStyle w:val="2BULLETArial11"/>
      </w:pPr>
      <w:r>
        <w:t>T</w:t>
      </w:r>
      <w:r w:rsidR="00F12537" w:rsidRPr="00B67E4F">
        <w:t xml:space="preserve">he work to be performed by the additional classification is not performed by a classification already on the applicable wage </w:t>
      </w:r>
      <w:proofErr w:type="gramStart"/>
      <w:r w:rsidR="00F12537" w:rsidRPr="00B67E4F">
        <w:t>decision;</w:t>
      </w:r>
      <w:proofErr w:type="gramEnd"/>
      <w:r w:rsidR="00F12537" w:rsidRPr="00B67E4F">
        <w:t xml:space="preserve"> </w:t>
      </w:r>
    </w:p>
    <w:p w14:paraId="67C2BE6B" w14:textId="77777777" w:rsidR="00F12537" w:rsidRPr="00B67E4F" w:rsidRDefault="008E477C" w:rsidP="007D3FBF">
      <w:pPr>
        <w:pStyle w:val="2BULLETArial11"/>
      </w:pPr>
      <w:r>
        <w:t>T</w:t>
      </w:r>
      <w:r w:rsidR="00F12537" w:rsidRPr="00B67E4F">
        <w:t xml:space="preserve">he classification is used by the construction industry </w:t>
      </w:r>
      <w:proofErr w:type="gramStart"/>
      <w:r w:rsidR="00F12537" w:rsidRPr="00B67E4F">
        <w:t>in the area of</w:t>
      </w:r>
      <w:proofErr w:type="gramEnd"/>
      <w:r w:rsidR="00F12537" w:rsidRPr="00B67E4F">
        <w:t xml:space="preserve"> the project; and </w:t>
      </w:r>
    </w:p>
    <w:p w14:paraId="350FF1ED" w14:textId="77777777" w:rsidR="00A14800" w:rsidRDefault="008E477C" w:rsidP="007D3FBF">
      <w:pPr>
        <w:pStyle w:val="2BULLETArial11"/>
      </w:pPr>
      <w:r>
        <w:t>T</w:t>
      </w:r>
      <w:r w:rsidR="00F12537" w:rsidRPr="00B67E4F">
        <w:t xml:space="preserve">he proposed wage rate and any fringe benefits bear a reasonable resemblance to the rates on the wage decision. </w:t>
      </w:r>
    </w:p>
    <w:p w14:paraId="33E4AD4B" w14:textId="77777777" w:rsidR="009C1057" w:rsidRDefault="009C1057" w:rsidP="007D3FBF">
      <w:pPr>
        <w:pStyle w:val="1BODYArial11"/>
        <w:spacing w:line="240" w:lineRule="auto"/>
        <w:jc w:val="left"/>
        <w:rPr>
          <w:b/>
          <w:bCs/>
        </w:rPr>
      </w:pPr>
    </w:p>
    <w:p w14:paraId="3FC0EFE2" w14:textId="3F3AC2F2" w:rsidR="00094B49" w:rsidRPr="009D392D" w:rsidRDefault="009D392D" w:rsidP="007D3FBF">
      <w:pPr>
        <w:pStyle w:val="1BODYArial11"/>
        <w:spacing w:line="240" w:lineRule="auto"/>
        <w:jc w:val="left"/>
      </w:pPr>
      <w:r w:rsidRPr="009D392D">
        <w:rPr>
          <w:b/>
          <w:bCs/>
        </w:rPr>
        <w:t>NOTE</w:t>
      </w:r>
      <w:r w:rsidR="00094B49" w:rsidRPr="009D392D">
        <w:rPr>
          <w:b/>
          <w:bCs/>
        </w:rPr>
        <w:t>:</w:t>
      </w:r>
      <w:r w:rsidR="00094B49" w:rsidRPr="009D392D">
        <w:t xml:space="preserve"> As a general guide, the wage rate proposed for a trade</w:t>
      </w:r>
      <w:r w:rsidR="00BB453F" w:rsidRPr="009D392D">
        <w:t xml:space="preserve"> </w:t>
      </w:r>
      <w:r w:rsidR="00094B49" w:rsidRPr="009D392D">
        <w:t>classification such as Electrician must be at least as much as the lowest wage</w:t>
      </w:r>
      <w:r w:rsidR="002551EA" w:rsidRPr="009D392D">
        <w:t xml:space="preserve"> </w:t>
      </w:r>
      <w:r w:rsidR="00094B49" w:rsidRPr="009D392D">
        <w:t>rate for other trade classifications already contained in the wage decision.</w:t>
      </w:r>
      <w:r w:rsidR="002551EA" w:rsidRPr="009D392D">
        <w:t xml:space="preserve"> </w:t>
      </w:r>
      <w:r w:rsidR="00094B49" w:rsidRPr="009C1057">
        <w:t>Trade classifications</w:t>
      </w:r>
      <w:r w:rsidR="00094B49" w:rsidRPr="009D392D">
        <w:t xml:space="preserve"> are generally all work classifications, excluding</w:t>
      </w:r>
      <w:r w:rsidR="002551EA" w:rsidRPr="009D392D">
        <w:t xml:space="preserve"> </w:t>
      </w:r>
      <w:r w:rsidR="0031567F">
        <w:rPr>
          <w:lang w:val="en-US"/>
        </w:rPr>
        <w:t>l</w:t>
      </w:r>
      <w:r w:rsidR="00D2447F" w:rsidRPr="009D392D">
        <w:t>laborers</w:t>
      </w:r>
      <w:r w:rsidR="00094B49" w:rsidRPr="009D392D">
        <w:t xml:space="preserve">, </w:t>
      </w:r>
      <w:r w:rsidR="00D2447F">
        <w:rPr>
          <w:lang w:val="en-US"/>
        </w:rPr>
        <w:t xml:space="preserve">truck </w:t>
      </w:r>
      <w:r w:rsidR="0031567F">
        <w:rPr>
          <w:lang w:val="en-US"/>
        </w:rPr>
        <w:t>d</w:t>
      </w:r>
      <w:r w:rsidR="00094B49" w:rsidRPr="009D392D">
        <w:t xml:space="preserve">rivers, and </w:t>
      </w:r>
      <w:r w:rsidR="00D2447F">
        <w:rPr>
          <w:lang w:val="en-US"/>
        </w:rPr>
        <w:t>power</w:t>
      </w:r>
      <w:r w:rsidR="00D2447F" w:rsidRPr="009D392D">
        <w:t xml:space="preserve"> </w:t>
      </w:r>
      <w:r w:rsidR="00D2447F">
        <w:rPr>
          <w:lang w:val="en-US"/>
        </w:rPr>
        <w:t>equipment</w:t>
      </w:r>
      <w:r w:rsidR="00D2447F" w:rsidRPr="009D392D">
        <w:t xml:space="preserve"> </w:t>
      </w:r>
      <w:r w:rsidR="00D2447F">
        <w:rPr>
          <w:lang w:val="en-US"/>
        </w:rPr>
        <w:t>operators</w:t>
      </w:r>
      <w:r w:rsidR="00094B49" w:rsidRPr="009D392D">
        <w:t>. Additional</w:t>
      </w:r>
      <w:r w:rsidR="002551EA" w:rsidRPr="009D392D">
        <w:t xml:space="preserve"> </w:t>
      </w:r>
      <w:r w:rsidR="00094B49" w:rsidRPr="009D392D">
        <w:t xml:space="preserve">classifications proposed for </w:t>
      </w:r>
      <w:r w:rsidR="00D2447F">
        <w:rPr>
          <w:lang w:val="en-US"/>
        </w:rPr>
        <w:t>power</w:t>
      </w:r>
      <w:r w:rsidR="00D2447F" w:rsidRPr="009D392D">
        <w:t xml:space="preserve"> </w:t>
      </w:r>
      <w:r w:rsidR="00D2447F">
        <w:rPr>
          <w:lang w:val="en-US"/>
        </w:rPr>
        <w:t>equipment</w:t>
      </w:r>
      <w:r w:rsidR="00D2447F" w:rsidRPr="009D392D">
        <w:t xml:space="preserve"> </w:t>
      </w:r>
      <w:r w:rsidR="00D2447F">
        <w:rPr>
          <w:lang w:val="en-US"/>
        </w:rPr>
        <w:t>operators</w:t>
      </w:r>
      <w:r w:rsidR="00D2447F" w:rsidDel="00D2447F">
        <w:rPr>
          <w:lang w:val="en-US"/>
        </w:rPr>
        <w:t xml:space="preserve"> </w:t>
      </w:r>
      <w:r w:rsidR="00094B49" w:rsidRPr="009D392D">
        <w:t>must specify the</w:t>
      </w:r>
      <w:r w:rsidR="002551EA" w:rsidRPr="009D392D">
        <w:t xml:space="preserve"> </w:t>
      </w:r>
      <w:r w:rsidR="00094B49" w:rsidRPr="009D392D">
        <w:t>type(s) of power equipment involved and the proposed wage rate(s) must be at</w:t>
      </w:r>
      <w:r w:rsidR="002551EA" w:rsidRPr="009D392D">
        <w:t xml:space="preserve"> </w:t>
      </w:r>
      <w:r w:rsidR="00094B49" w:rsidRPr="009D392D">
        <w:t xml:space="preserve">least as much as the lowest wage rate for any </w:t>
      </w:r>
      <w:r w:rsidR="00D2447F">
        <w:rPr>
          <w:lang w:val="en-US"/>
        </w:rPr>
        <w:t>power</w:t>
      </w:r>
      <w:r w:rsidR="00D2447F" w:rsidRPr="009D392D">
        <w:t xml:space="preserve"> </w:t>
      </w:r>
      <w:r w:rsidR="00D2447F">
        <w:rPr>
          <w:lang w:val="en-US"/>
        </w:rPr>
        <w:t>equipment</w:t>
      </w:r>
      <w:r w:rsidR="00D2447F" w:rsidRPr="009D392D">
        <w:t xml:space="preserve"> </w:t>
      </w:r>
      <w:r w:rsidR="00D2447F">
        <w:rPr>
          <w:lang w:val="en-US"/>
        </w:rPr>
        <w:t>operator</w:t>
      </w:r>
      <w:r w:rsidR="00D2447F" w:rsidDel="00D2447F">
        <w:rPr>
          <w:lang w:val="en-US"/>
        </w:rPr>
        <w:t xml:space="preserve"> </w:t>
      </w:r>
      <w:r w:rsidR="00094B49" w:rsidRPr="009D392D">
        <w:t>that</w:t>
      </w:r>
      <w:r w:rsidR="002551EA" w:rsidRPr="009D392D">
        <w:t xml:space="preserve"> </w:t>
      </w:r>
      <w:r w:rsidR="00094B49" w:rsidRPr="009D392D">
        <w:t>appears on the wage decision.</w:t>
      </w:r>
    </w:p>
    <w:p w14:paraId="67BF8252" w14:textId="77777777" w:rsidR="00493C19" w:rsidRPr="009D392D" w:rsidRDefault="00493C19" w:rsidP="007D3FBF">
      <w:pPr>
        <w:pStyle w:val="1BODYArial11"/>
        <w:spacing w:line="240" w:lineRule="auto"/>
      </w:pPr>
    </w:p>
    <w:p w14:paraId="38F78019" w14:textId="77777777" w:rsidR="00FA6BF9" w:rsidRPr="00106B10" w:rsidRDefault="00BE3F22" w:rsidP="007D3FBF">
      <w:pPr>
        <w:pStyle w:val="1BODYArial11"/>
        <w:spacing w:line="240" w:lineRule="auto"/>
        <w:jc w:val="left"/>
      </w:pPr>
      <w:r>
        <w:rPr>
          <w:lang w:val="en-US"/>
        </w:rPr>
        <w:t xml:space="preserve">Do not include apprentices or trainee classifications in an additional wage rate request.  </w:t>
      </w:r>
      <w:r w:rsidR="00FA6BF9" w:rsidRPr="00106B10">
        <w:t xml:space="preserve">The information on wage rates paid to apprentices and trainees is not solicited </w:t>
      </w:r>
      <w:r>
        <w:rPr>
          <w:lang w:val="en-US"/>
        </w:rPr>
        <w:t xml:space="preserve">by DOL </w:t>
      </w:r>
      <w:r w:rsidR="00FA6BF9" w:rsidRPr="00106B10">
        <w:t>nor do the wage determinations issued include apprentice classifications.</w:t>
      </w:r>
    </w:p>
    <w:p w14:paraId="09F9FFAD" w14:textId="77777777" w:rsidR="00F12537" w:rsidRPr="00BB6BBD" w:rsidRDefault="00F12537" w:rsidP="007D3FBF">
      <w:pPr>
        <w:pStyle w:val="1BODYArial11"/>
        <w:spacing w:line="240" w:lineRule="auto"/>
      </w:pPr>
    </w:p>
    <w:p w14:paraId="56D232FD" w14:textId="77777777" w:rsidR="00F12537" w:rsidRPr="0031567F" w:rsidRDefault="00F12537" w:rsidP="007D3FBF">
      <w:pPr>
        <w:pStyle w:val="1BODYArial11"/>
        <w:spacing w:line="240" w:lineRule="auto"/>
        <w:rPr>
          <w:lang w:val="en-US"/>
        </w:rPr>
      </w:pPr>
      <w:r w:rsidRPr="00B67E4F">
        <w:t>T</w:t>
      </w:r>
      <w:r w:rsidR="00A850EE">
        <w:t>DA’s</w:t>
      </w:r>
      <w:r w:rsidRPr="00B67E4F">
        <w:t xml:space="preserve"> </w:t>
      </w:r>
      <w:r w:rsidR="00052FA0">
        <w:rPr>
          <w:lang w:val="en-US"/>
        </w:rPr>
        <w:t>DBRA Subject Matter Expert (SME)</w:t>
      </w:r>
      <w:r w:rsidR="007A7CFF" w:rsidRPr="00B67E4F">
        <w:t xml:space="preserve"> </w:t>
      </w:r>
      <w:r w:rsidRPr="00B67E4F">
        <w:t xml:space="preserve">will review the requested classification and wage rate </w:t>
      </w:r>
      <w:r w:rsidR="00E43A59" w:rsidRPr="00B67E4F">
        <w:t xml:space="preserve">to </w:t>
      </w:r>
      <w:r w:rsidR="00E43A59">
        <w:t>ensure</w:t>
      </w:r>
      <w:r w:rsidR="00094B49">
        <w:t xml:space="preserve"> that all required information is submitted</w:t>
      </w:r>
      <w:r w:rsidRPr="00B67E4F">
        <w:t>.</w:t>
      </w:r>
    </w:p>
    <w:p w14:paraId="58FAF504" w14:textId="77777777" w:rsidR="00F12537" w:rsidRPr="00B67E4F" w:rsidRDefault="00A850EE" w:rsidP="007D3FBF">
      <w:pPr>
        <w:pStyle w:val="2BULLETArial11"/>
        <w:spacing w:line="240" w:lineRule="auto"/>
      </w:pPr>
      <w:r>
        <w:t>TDA’s</w:t>
      </w:r>
      <w:r w:rsidR="00F12537" w:rsidRPr="00B67E4F">
        <w:t xml:space="preserve"> </w:t>
      </w:r>
      <w:r w:rsidR="00052FA0">
        <w:t>DBRA SME</w:t>
      </w:r>
      <w:r w:rsidR="007A7CFF" w:rsidRPr="00B67E4F">
        <w:t xml:space="preserve"> </w:t>
      </w:r>
      <w:r w:rsidR="00F12537" w:rsidRPr="00B67E4F">
        <w:t xml:space="preserve">will refer it to </w:t>
      </w:r>
      <w:r w:rsidR="00324C8D">
        <w:t xml:space="preserve">the </w:t>
      </w:r>
      <w:r w:rsidR="00697042">
        <w:t>DOL for final approval.</w:t>
      </w:r>
      <w:r w:rsidR="00F12537" w:rsidRPr="00B67E4F">
        <w:t xml:space="preserve"> The LSO will receive a copy of the final determination letter once </w:t>
      </w:r>
      <w:r w:rsidR="00324C8D">
        <w:t xml:space="preserve">the </w:t>
      </w:r>
      <w:r w:rsidR="00F12537" w:rsidRPr="00B67E4F">
        <w:t xml:space="preserve">DOL has reviewed </w:t>
      </w:r>
      <w:r w:rsidR="00FD48E8" w:rsidRPr="00B67E4F">
        <w:t>the request</w:t>
      </w:r>
      <w:r w:rsidR="00F12537" w:rsidRPr="00B67E4F">
        <w:t>.</w:t>
      </w:r>
    </w:p>
    <w:p w14:paraId="2E9683E1" w14:textId="77777777" w:rsidR="00F12537" w:rsidRDefault="00F12537" w:rsidP="007D3FBF">
      <w:pPr>
        <w:pStyle w:val="2BULLETArial11"/>
        <w:spacing w:line="240" w:lineRule="auto"/>
        <w:ind w:right="-144"/>
      </w:pPr>
      <w:r w:rsidRPr="007418A4">
        <w:t xml:space="preserve">If </w:t>
      </w:r>
      <w:r w:rsidR="00CD5821">
        <w:t xml:space="preserve">the </w:t>
      </w:r>
      <w:r w:rsidRPr="007418A4">
        <w:t xml:space="preserve">DOL </w:t>
      </w:r>
      <w:r w:rsidRPr="007418A4">
        <w:rPr>
          <w:i/>
        </w:rPr>
        <w:t>does not</w:t>
      </w:r>
      <w:r w:rsidRPr="007418A4">
        <w:t xml:space="preserve"> approve the request, the LSO will be notified about what classification and wage rate should be used for the work in question. The LSO will also receive instructions about how to ask for DOL reconsideration if the Grant Recipient would like to pursue the issue further.</w:t>
      </w:r>
    </w:p>
    <w:p w14:paraId="5F4E1804" w14:textId="77777777" w:rsidR="00F12537" w:rsidRPr="009D392D" w:rsidRDefault="0031567F" w:rsidP="007D3FBF">
      <w:pPr>
        <w:pStyle w:val="2BULLETArial11"/>
        <w:numPr>
          <w:ilvl w:val="0"/>
          <w:numId w:val="0"/>
        </w:numPr>
        <w:spacing w:line="240" w:lineRule="auto"/>
        <w:ind w:left="720"/>
      </w:pPr>
      <w:r w:rsidRPr="0031567F">
        <w:rPr>
          <w:b/>
          <w:bCs/>
          <w:iCs/>
        </w:rPr>
        <w:t>NOTE</w:t>
      </w:r>
      <w:r w:rsidR="007A7CFF" w:rsidRPr="0031567F">
        <w:rPr>
          <w:b/>
          <w:bCs/>
          <w:iCs/>
        </w:rPr>
        <w:t>:</w:t>
      </w:r>
      <w:r w:rsidR="007A7CFF">
        <w:rPr>
          <w:i/>
        </w:rPr>
        <w:t xml:space="preserve"> </w:t>
      </w:r>
      <w:r w:rsidR="007A7CFF" w:rsidRPr="009C1057">
        <w:rPr>
          <w:iCs/>
        </w:rPr>
        <w:t>I</w:t>
      </w:r>
      <w:r w:rsidR="00967A8C" w:rsidRPr="009C1057">
        <w:rPr>
          <w:iCs/>
        </w:rPr>
        <w:t xml:space="preserve">f DOL has not responded before the </w:t>
      </w:r>
      <w:r w:rsidR="007A7CFF" w:rsidRPr="009C1057">
        <w:rPr>
          <w:iCs/>
        </w:rPr>
        <w:t xml:space="preserve">completion </w:t>
      </w:r>
      <w:r w:rsidR="00967A8C" w:rsidRPr="009C1057">
        <w:rPr>
          <w:iCs/>
        </w:rPr>
        <w:t xml:space="preserve">of the </w:t>
      </w:r>
      <w:r w:rsidR="00225327" w:rsidRPr="009C1057">
        <w:rPr>
          <w:iCs/>
        </w:rPr>
        <w:t xml:space="preserve">TxCDBG </w:t>
      </w:r>
      <w:r w:rsidR="00967A8C" w:rsidRPr="009C1057">
        <w:rPr>
          <w:iCs/>
        </w:rPr>
        <w:t>contract</w:t>
      </w:r>
      <w:r w:rsidR="007A7CFF" w:rsidRPr="009C1057">
        <w:rPr>
          <w:iCs/>
        </w:rPr>
        <w:t>, the Project Completion Report may still be submitted</w:t>
      </w:r>
      <w:r w:rsidR="00967A8C" w:rsidRPr="009C1057">
        <w:rPr>
          <w:iCs/>
        </w:rPr>
        <w:t xml:space="preserve">. The LSO will be informed of how to </w:t>
      </w:r>
      <w:r w:rsidR="007A7CFF" w:rsidRPr="009C1057">
        <w:rPr>
          <w:iCs/>
        </w:rPr>
        <w:t xml:space="preserve">certify the Labor Standards compliance </w:t>
      </w:r>
      <w:r w:rsidR="00967A8C" w:rsidRPr="009C1057">
        <w:rPr>
          <w:iCs/>
        </w:rPr>
        <w:t>if this does occur.</w:t>
      </w:r>
      <w:r w:rsidR="00967A8C" w:rsidRPr="00E518B3">
        <w:rPr>
          <w:i/>
        </w:rPr>
        <w:t xml:space="preserve">  </w:t>
      </w:r>
    </w:p>
    <w:p w14:paraId="51FC4405" w14:textId="77777777" w:rsidR="00CB29F0" w:rsidRPr="00BB6BBD" w:rsidRDefault="00CB29F0" w:rsidP="007D3FBF">
      <w:pPr>
        <w:jc w:val="both"/>
        <w:rPr>
          <w:rFonts w:cs="Arial"/>
          <w:sz w:val="18"/>
          <w:szCs w:val="22"/>
        </w:rPr>
      </w:pPr>
    </w:p>
    <w:p w14:paraId="55CA433D" w14:textId="77777777" w:rsidR="003C0B91" w:rsidRDefault="009D392D" w:rsidP="007D3FBF">
      <w:pPr>
        <w:pStyle w:val="3BOLDArial11"/>
        <w:spacing w:line="240" w:lineRule="auto"/>
      </w:pPr>
      <w:r>
        <w:t>Step</w:t>
      </w:r>
      <w:r w:rsidR="00F12537" w:rsidRPr="00B67E4F">
        <w:t xml:space="preserve"> </w:t>
      </w:r>
      <w:r w:rsidR="005105BF">
        <w:t>8</w:t>
      </w:r>
      <w:r w:rsidR="00CD2364">
        <w:t xml:space="preserve">. </w:t>
      </w:r>
      <w:r w:rsidR="003C0B91">
        <w:t xml:space="preserve">Contractor </w:t>
      </w:r>
      <w:r w:rsidR="008D33F3">
        <w:t>P</w:t>
      </w:r>
      <w:r w:rsidR="003C0B91">
        <w:t xml:space="preserve">osts </w:t>
      </w:r>
      <w:r w:rsidR="008D33F3">
        <w:t>W</w:t>
      </w:r>
      <w:r w:rsidR="003C0B91">
        <w:t xml:space="preserve">age </w:t>
      </w:r>
      <w:r w:rsidR="008D33F3">
        <w:t>D</w:t>
      </w:r>
      <w:r w:rsidR="003C0B91">
        <w:t xml:space="preserve">ecision at the </w:t>
      </w:r>
      <w:r w:rsidR="008D33F3">
        <w:t>J</w:t>
      </w:r>
      <w:r w:rsidR="003C0B91">
        <w:t xml:space="preserve">ob </w:t>
      </w:r>
      <w:r w:rsidR="008D33F3">
        <w:t>S</w:t>
      </w:r>
      <w:r w:rsidR="003C0B91">
        <w:t>ite</w:t>
      </w:r>
    </w:p>
    <w:p w14:paraId="4B8269AE" w14:textId="77777777" w:rsidR="003C0B91" w:rsidRDefault="003C0B91" w:rsidP="007D3FBF">
      <w:pPr>
        <w:pStyle w:val="1BODYArial11"/>
        <w:spacing w:line="240" w:lineRule="auto"/>
      </w:pPr>
      <w:r w:rsidRPr="00B67E4F">
        <w:t xml:space="preserve">The prime contractor must post </w:t>
      </w:r>
      <w:r>
        <w:t xml:space="preserve">a copy of </w:t>
      </w:r>
      <w:r w:rsidRPr="00B67E4F">
        <w:t>the wage decision</w:t>
      </w:r>
      <w:r>
        <w:t xml:space="preserve"> and a copy of the DOL Davis-Bacon poster entitled </w:t>
      </w:r>
      <w:r w:rsidRPr="009C1057">
        <w:t>Employee Rights under the Davis-Bacon Act</w:t>
      </w:r>
      <w:r w:rsidR="009D392D">
        <w:rPr>
          <w:lang w:val="en-US"/>
        </w:rPr>
        <w:t xml:space="preserve"> </w:t>
      </w:r>
      <w:r>
        <w:t>at the job site in a place that is easily accessible to all of the construction workers employed at the project</w:t>
      </w:r>
      <w:r w:rsidR="00697042">
        <w:t>.</w:t>
      </w:r>
      <w:r>
        <w:t xml:space="preserve"> </w:t>
      </w:r>
      <w:r w:rsidR="009D392D">
        <w:rPr>
          <w:lang w:val="en-US"/>
        </w:rPr>
        <w:t>S</w:t>
      </w:r>
      <w:proofErr w:type="spellStart"/>
      <w:r w:rsidR="009D392D" w:rsidRPr="006801D8">
        <w:t>ee</w:t>
      </w:r>
      <w:proofErr w:type="spellEnd"/>
      <w:r w:rsidR="009D392D">
        <w:rPr>
          <w:lang w:val="en-US"/>
        </w:rPr>
        <w:t xml:space="preserve"> </w:t>
      </w:r>
      <w:r w:rsidR="009D392D" w:rsidRPr="00307C40">
        <w:rPr>
          <w:i/>
          <w:iCs/>
        </w:rPr>
        <w:t>Appendix A</w:t>
      </w:r>
      <w:r w:rsidR="009D392D" w:rsidRPr="006801D8">
        <w:t xml:space="preserve"> for link to </w:t>
      </w:r>
      <w:r w:rsidR="009D392D" w:rsidRPr="0031567F">
        <w:rPr>
          <w:i/>
          <w:iCs/>
          <w:lang w:val="en-US"/>
        </w:rPr>
        <w:t xml:space="preserve">Davis-Bacon Poster </w:t>
      </w:r>
      <w:r w:rsidR="009D392D" w:rsidRPr="009D392D">
        <w:rPr>
          <w:b/>
          <w:bCs/>
          <w:lang w:val="en-US"/>
        </w:rPr>
        <w:t>(</w:t>
      </w:r>
      <w:r w:rsidR="009D392D" w:rsidRPr="009D392D">
        <w:rPr>
          <w:b/>
          <w:bCs/>
        </w:rPr>
        <w:t>Form WH-1321</w:t>
      </w:r>
      <w:r w:rsidR="009D392D" w:rsidRPr="009D392D">
        <w:rPr>
          <w:b/>
          <w:bCs/>
          <w:lang w:val="en-US"/>
        </w:rPr>
        <w:t>)</w:t>
      </w:r>
      <w:r w:rsidR="009D392D">
        <w:rPr>
          <w:lang w:val="en-US"/>
        </w:rPr>
        <w:t>.</w:t>
      </w:r>
      <w:r w:rsidR="0031567F">
        <w:rPr>
          <w:lang w:val="en-US"/>
        </w:rPr>
        <w:t xml:space="preserve"> </w:t>
      </w:r>
      <w:r>
        <w:t xml:space="preserve">If the contractor requests additional classification(s) as described above, the contractor must also post the notice of the request and the associated wage decision </w:t>
      </w:r>
      <w:r w:rsidR="00BB1C55">
        <w:t>on</w:t>
      </w:r>
      <w:r w:rsidR="006158DD">
        <w:t xml:space="preserve"> </w:t>
      </w:r>
      <w:r>
        <w:t>the job site</w:t>
      </w:r>
      <w:r w:rsidR="00A21FEF">
        <w:t>.</w:t>
      </w:r>
      <w:r>
        <w:t xml:space="preserve"> </w:t>
      </w:r>
    </w:p>
    <w:p w14:paraId="651D0EFA" w14:textId="77777777" w:rsidR="003C0B91" w:rsidRPr="00BB6BBD" w:rsidRDefault="003C0B91" w:rsidP="007D3FBF">
      <w:pPr>
        <w:pStyle w:val="1BODYArial11"/>
        <w:spacing w:line="240" w:lineRule="auto"/>
        <w:rPr>
          <w:sz w:val="18"/>
        </w:rPr>
      </w:pPr>
    </w:p>
    <w:p w14:paraId="26D473B3" w14:textId="77777777" w:rsidR="00F12537" w:rsidRPr="00B67E4F" w:rsidRDefault="009D392D" w:rsidP="007D3FBF">
      <w:pPr>
        <w:pStyle w:val="3BOLDArial11"/>
        <w:spacing w:line="240" w:lineRule="auto"/>
      </w:pPr>
      <w:r>
        <w:t>Step</w:t>
      </w:r>
      <w:r w:rsidR="003C0B91">
        <w:t xml:space="preserve"> </w:t>
      </w:r>
      <w:r w:rsidR="005105BF">
        <w:t>9</w:t>
      </w:r>
      <w:r w:rsidR="00CD2364">
        <w:t xml:space="preserve">. </w:t>
      </w:r>
      <w:r w:rsidR="00F12537" w:rsidRPr="00B67E4F">
        <w:t xml:space="preserve">Hold a </w:t>
      </w:r>
      <w:r w:rsidR="002404DC">
        <w:t>P</w:t>
      </w:r>
      <w:r w:rsidR="00F12537" w:rsidRPr="00B67E4F">
        <w:t xml:space="preserve">reconstruction </w:t>
      </w:r>
      <w:r w:rsidR="002404DC">
        <w:t>C</w:t>
      </w:r>
      <w:r w:rsidR="00F12537" w:rsidRPr="00B67E4F">
        <w:t xml:space="preserve">onference to </w:t>
      </w:r>
      <w:r w:rsidR="002404DC">
        <w:t>E</w:t>
      </w:r>
      <w:r w:rsidR="00F12537" w:rsidRPr="00B67E4F">
        <w:t xml:space="preserve">xplain </w:t>
      </w:r>
      <w:r w:rsidR="002404DC">
        <w:t>L</w:t>
      </w:r>
      <w:r w:rsidR="00F12537" w:rsidRPr="00B67E4F">
        <w:t xml:space="preserve">abor </w:t>
      </w:r>
      <w:r w:rsidR="002404DC">
        <w:t>S</w:t>
      </w:r>
      <w:r w:rsidR="00F12537" w:rsidRPr="00B67E4F">
        <w:t>tandards</w:t>
      </w:r>
    </w:p>
    <w:p w14:paraId="3F675C90" w14:textId="77777777" w:rsidR="0061171A" w:rsidRPr="00967A8C" w:rsidRDefault="004A1E73" w:rsidP="007D3FBF">
      <w:pPr>
        <w:pStyle w:val="1BODYArial11"/>
        <w:spacing w:line="240" w:lineRule="auto"/>
        <w:rPr>
          <w:i/>
        </w:rPr>
      </w:pPr>
      <w:r>
        <w:rPr>
          <w:lang w:val="en-US"/>
        </w:rPr>
        <w:t>The LSO must hold a</w:t>
      </w:r>
      <w:r w:rsidR="00F12537" w:rsidRPr="00B67E4F">
        <w:t xml:space="preserve"> preconstruction conference</w:t>
      </w:r>
      <w:r w:rsidR="004665FC">
        <w:t xml:space="preserve"> </w:t>
      </w:r>
      <w:r w:rsidR="00B22DD8">
        <w:t>by phone</w:t>
      </w:r>
      <w:r w:rsidR="00A40D2D">
        <w:t xml:space="preserve">, </w:t>
      </w:r>
      <w:r w:rsidR="007F340A">
        <w:rPr>
          <w:lang w:val="en-US"/>
        </w:rPr>
        <w:t>video</w:t>
      </w:r>
      <w:r w:rsidR="007F340A">
        <w:t xml:space="preserve"> </w:t>
      </w:r>
      <w:r w:rsidR="00BB1C55">
        <w:t>call,</w:t>
      </w:r>
      <w:r w:rsidR="00B22DD8">
        <w:t xml:space="preserve"> or in person </w:t>
      </w:r>
      <w:r>
        <w:rPr>
          <w:lang w:val="en-US"/>
        </w:rPr>
        <w:t xml:space="preserve">meeting </w:t>
      </w:r>
      <w:r w:rsidR="00F12537" w:rsidRPr="00B67E4F">
        <w:t xml:space="preserve">with the </w:t>
      </w:r>
      <w:r>
        <w:rPr>
          <w:lang w:val="en-US"/>
        </w:rPr>
        <w:t xml:space="preserve">prime contractor, and should include the </w:t>
      </w:r>
      <w:r w:rsidR="00F12537" w:rsidRPr="00B67E4F">
        <w:t>engineer/architect, subcontractor(s), inspector(s), and all applicable utility companies prior to the start of construction.</w:t>
      </w:r>
      <w:r w:rsidR="00D71245">
        <w:rPr>
          <w:lang w:val="en-US"/>
        </w:rPr>
        <w:t xml:space="preserve"> </w:t>
      </w:r>
      <w:r w:rsidR="00236310">
        <w:t>T</w:t>
      </w:r>
      <w:r w:rsidR="0061171A" w:rsidRPr="00B67E4F">
        <w:t>he Grant Recipient must document and retain preconstruction conference minutes, including a list of attendees and an outline of the required federal/state labor requirements</w:t>
      </w:r>
      <w:r w:rsidR="00630E60">
        <w:rPr>
          <w:lang w:val="en-US"/>
        </w:rPr>
        <w:t xml:space="preserve">. A </w:t>
      </w:r>
      <w:r w:rsidR="0061171A" w:rsidRPr="00B67E4F">
        <w:t xml:space="preserve">sample </w:t>
      </w:r>
      <w:r w:rsidR="003F5115">
        <w:t xml:space="preserve">checklist </w:t>
      </w:r>
      <w:r w:rsidR="0061171A" w:rsidRPr="00B67E4F">
        <w:t xml:space="preserve">is included as </w:t>
      </w:r>
      <w:r w:rsidR="008D33F3" w:rsidRPr="008D33F3">
        <w:rPr>
          <w:i/>
          <w:iCs/>
          <w:lang w:val="en-US"/>
        </w:rPr>
        <w:t>Pre</w:t>
      </w:r>
      <w:r w:rsidR="009373D0">
        <w:rPr>
          <w:i/>
          <w:iCs/>
          <w:lang w:val="en-US"/>
        </w:rPr>
        <w:t>-</w:t>
      </w:r>
      <w:r w:rsidR="008D33F3" w:rsidRPr="008D33F3">
        <w:rPr>
          <w:i/>
          <w:iCs/>
          <w:lang w:val="en-US"/>
        </w:rPr>
        <w:t>con</w:t>
      </w:r>
      <w:r w:rsidR="009373D0">
        <w:rPr>
          <w:i/>
          <w:iCs/>
          <w:lang w:val="en-US"/>
        </w:rPr>
        <w:t>struction</w:t>
      </w:r>
      <w:r w:rsidR="008D33F3" w:rsidRPr="008D33F3">
        <w:rPr>
          <w:i/>
          <w:iCs/>
          <w:lang w:val="en-US"/>
        </w:rPr>
        <w:t xml:space="preserve"> Conference and Report</w:t>
      </w:r>
      <w:r w:rsidR="008D33F3">
        <w:rPr>
          <w:lang w:val="en-US"/>
        </w:rPr>
        <w:t xml:space="preserve"> </w:t>
      </w:r>
      <w:r w:rsidR="008D33F3" w:rsidRPr="008D33F3">
        <w:rPr>
          <w:b/>
          <w:bCs/>
          <w:lang w:val="en-US"/>
        </w:rPr>
        <w:t>(</w:t>
      </w:r>
      <w:r w:rsidR="0061171A" w:rsidRPr="00B67E4F">
        <w:rPr>
          <w:b/>
        </w:rPr>
        <w:t>Form A704</w:t>
      </w:r>
      <w:r w:rsidR="008D33F3">
        <w:rPr>
          <w:b/>
          <w:lang w:val="en-US"/>
        </w:rPr>
        <w:t>)</w:t>
      </w:r>
      <w:r w:rsidR="00630E60">
        <w:rPr>
          <w:lang w:val="en-US"/>
        </w:rPr>
        <w:t>.</w:t>
      </w:r>
      <w:r w:rsidR="00113A1F">
        <w:t xml:space="preserve"> </w:t>
      </w:r>
    </w:p>
    <w:p w14:paraId="7B56E58A" w14:textId="77777777" w:rsidR="00881070" w:rsidRPr="00BB6BBD" w:rsidRDefault="00881070" w:rsidP="007D3FBF">
      <w:pPr>
        <w:jc w:val="both"/>
        <w:rPr>
          <w:rFonts w:cs="Arial"/>
          <w:sz w:val="18"/>
          <w:szCs w:val="22"/>
        </w:rPr>
      </w:pPr>
    </w:p>
    <w:p w14:paraId="4FB0C82F" w14:textId="77777777" w:rsidR="00F12537" w:rsidRPr="00B67E4F" w:rsidRDefault="00F12537" w:rsidP="007D3FBF">
      <w:pPr>
        <w:pStyle w:val="1BODYArial11"/>
        <w:spacing w:line="240" w:lineRule="auto"/>
      </w:pPr>
      <w:r w:rsidRPr="00B67E4F">
        <w:t>The preconstruction conference should include</w:t>
      </w:r>
      <w:r w:rsidR="002B015B">
        <w:rPr>
          <w:lang w:val="en-US"/>
        </w:rPr>
        <w:t>:</w:t>
      </w:r>
      <w:r w:rsidR="00260F8C">
        <w:t xml:space="preserve"> </w:t>
      </w:r>
    </w:p>
    <w:p w14:paraId="4BFC8006" w14:textId="7B369E71" w:rsidR="0061171A" w:rsidRPr="00B67E4F" w:rsidRDefault="00426DF0" w:rsidP="007D3FBF">
      <w:pPr>
        <w:pStyle w:val="2BULLETArial11"/>
      </w:pPr>
      <w:r>
        <w:t>A</w:t>
      </w:r>
      <w:r w:rsidR="0061171A" w:rsidRPr="00B67E4F">
        <w:t xml:space="preserve">dvice to all parties regarding their responsibilities and obligations on a federally funded or federally assisted </w:t>
      </w:r>
      <w:proofErr w:type="gramStart"/>
      <w:r w:rsidR="0061171A" w:rsidRPr="00B67E4F">
        <w:t>project;</w:t>
      </w:r>
      <w:proofErr w:type="gramEnd"/>
    </w:p>
    <w:p w14:paraId="30C854ED" w14:textId="79694F41" w:rsidR="0061171A" w:rsidRPr="00B67E4F" w:rsidRDefault="00426DF0" w:rsidP="007D3FBF">
      <w:pPr>
        <w:pStyle w:val="2BULLETArial11"/>
        <w:spacing w:line="240" w:lineRule="auto"/>
      </w:pPr>
      <w:r>
        <w:t>D</w:t>
      </w:r>
      <w:r w:rsidR="0061171A" w:rsidRPr="00B67E4F">
        <w:t xml:space="preserve">iscussion of applicable federal, state, local, and program </w:t>
      </w:r>
      <w:proofErr w:type="gramStart"/>
      <w:r w:rsidR="0061171A" w:rsidRPr="00B67E4F">
        <w:t>guidelines;</w:t>
      </w:r>
      <w:proofErr w:type="gramEnd"/>
    </w:p>
    <w:p w14:paraId="106ECD69" w14:textId="58127AB4" w:rsidR="00F12537" w:rsidRPr="00B67E4F" w:rsidRDefault="00426DF0" w:rsidP="007D3FBF">
      <w:pPr>
        <w:pStyle w:val="2BULLETArial11"/>
        <w:spacing w:line="240" w:lineRule="auto"/>
      </w:pPr>
      <w:r>
        <w:t>D</w:t>
      </w:r>
      <w:r w:rsidR="00F12537" w:rsidRPr="00B67E4F">
        <w:t>iscussion of all construction details, time frame of project, payment req</w:t>
      </w:r>
      <w:r w:rsidR="0061171A" w:rsidRPr="00B67E4F">
        <w:t xml:space="preserve">uirements, and labor </w:t>
      </w:r>
      <w:proofErr w:type="gramStart"/>
      <w:r w:rsidR="0061171A" w:rsidRPr="00B67E4F">
        <w:t>standards;</w:t>
      </w:r>
      <w:proofErr w:type="gramEnd"/>
    </w:p>
    <w:p w14:paraId="05CAE94C" w14:textId="57FA429A" w:rsidR="00F12537" w:rsidRPr="00B67E4F" w:rsidRDefault="00426DF0" w:rsidP="007D3FBF">
      <w:pPr>
        <w:pStyle w:val="2BULLETArial11"/>
        <w:spacing w:line="240" w:lineRule="auto"/>
      </w:pPr>
      <w:r>
        <w:t>D</w:t>
      </w:r>
      <w:r w:rsidR="00F12537" w:rsidRPr="00B67E4F">
        <w:t>elivery of all bonds and certificates of insurance to the Grant Recipient;</w:t>
      </w:r>
      <w:r w:rsidR="0061171A" w:rsidRPr="00B67E4F">
        <w:t xml:space="preserve"> and</w:t>
      </w:r>
    </w:p>
    <w:p w14:paraId="5464CC45" w14:textId="36D9E769" w:rsidR="0061171A" w:rsidRPr="00B67E4F" w:rsidRDefault="00426DF0" w:rsidP="007D3FBF">
      <w:pPr>
        <w:pStyle w:val="2BULLETArial11"/>
        <w:spacing w:line="240" w:lineRule="auto"/>
      </w:pPr>
      <w:r>
        <w:t>D</w:t>
      </w:r>
      <w:r w:rsidR="00F12537" w:rsidRPr="00B67E4F">
        <w:t xml:space="preserve">elivery of all necessary </w:t>
      </w:r>
      <w:r w:rsidR="0048474E">
        <w:t>g</w:t>
      </w:r>
      <w:r w:rsidR="00F12537" w:rsidRPr="00B67E4F">
        <w:t xml:space="preserve">eneral </w:t>
      </w:r>
      <w:r w:rsidR="0048474E">
        <w:t>w</w:t>
      </w:r>
      <w:r w:rsidR="00F12537" w:rsidRPr="00B67E4F">
        <w:t xml:space="preserve">age </w:t>
      </w:r>
      <w:r w:rsidR="0048474E">
        <w:t>de</w:t>
      </w:r>
      <w:r w:rsidR="00F12537" w:rsidRPr="00B67E4F">
        <w:t>cisions, labor posters, and any additional classifications to the contractor along with instructions that will assist in completing the project.</w:t>
      </w:r>
      <w:r w:rsidR="0061171A" w:rsidRPr="00B67E4F">
        <w:t xml:space="preserve"> </w:t>
      </w:r>
    </w:p>
    <w:p w14:paraId="0E43351A" w14:textId="77777777" w:rsidR="003F143C" w:rsidRPr="00E037F8" w:rsidRDefault="003F143C" w:rsidP="007D3FBF"/>
    <w:p w14:paraId="459BD088" w14:textId="77777777" w:rsidR="00F12537" w:rsidRPr="00E037F8" w:rsidRDefault="00646F7A" w:rsidP="007D3FBF">
      <w:pPr>
        <w:pStyle w:val="3BOLDArial11"/>
        <w:spacing w:line="240" w:lineRule="auto"/>
        <w:rPr>
          <w:i/>
        </w:rPr>
      </w:pPr>
      <w:r w:rsidRPr="00E037F8">
        <w:t>Step</w:t>
      </w:r>
      <w:r w:rsidR="006C79CF" w:rsidRPr="00E037F8">
        <w:t xml:space="preserve"> </w:t>
      </w:r>
      <w:r w:rsidR="003C0B91" w:rsidRPr="00E037F8">
        <w:t>10</w:t>
      </w:r>
      <w:r w:rsidR="00CD2364" w:rsidRPr="00E037F8">
        <w:t xml:space="preserve">. </w:t>
      </w:r>
      <w:r w:rsidR="006C79CF" w:rsidRPr="00E037F8">
        <w:t xml:space="preserve">Review </w:t>
      </w:r>
      <w:r w:rsidR="00743E58" w:rsidRPr="00E037F8">
        <w:t>P</w:t>
      </w:r>
      <w:r w:rsidR="006C79CF" w:rsidRPr="00E037F8">
        <w:t xml:space="preserve">roject </w:t>
      </w:r>
      <w:r w:rsidR="00743E58" w:rsidRPr="00E037F8">
        <w:t>P</w:t>
      </w:r>
      <w:r w:rsidR="006C79CF" w:rsidRPr="00E037F8">
        <w:t xml:space="preserve">ayrolls </w:t>
      </w:r>
      <w:r w:rsidR="00743E58" w:rsidRPr="00E037F8">
        <w:t>D</w:t>
      </w:r>
      <w:r w:rsidR="006C79CF" w:rsidRPr="00E037F8">
        <w:t xml:space="preserve">uring </w:t>
      </w:r>
      <w:r w:rsidR="00743E58" w:rsidRPr="00E037F8">
        <w:t>C</w:t>
      </w:r>
      <w:r w:rsidR="006C79CF" w:rsidRPr="00E037F8">
        <w:t xml:space="preserve">onstruction </w:t>
      </w:r>
    </w:p>
    <w:p w14:paraId="059BC3D5" w14:textId="77777777" w:rsidR="00EB2533" w:rsidRPr="00E037F8" w:rsidRDefault="006C79CF" w:rsidP="007D3FBF">
      <w:pPr>
        <w:pStyle w:val="1BODYArial11"/>
        <w:spacing w:line="240" w:lineRule="auto"/>
      </w:pPr>
      <w:r w:rsidRPr="00E037F8">
        <w:t xml:space="preserve">The LSO or other </w:t>
      </w:r>
      <w:r w:rsidR="00DA5201" w:rsidRPr="00E037F8">
        <w:t xml:space="preserve">designated </w:t>
      </w:r>
      <w:r w:rsidRPr="00E037F8">
        <w:t>inspe</w:t>
      </w:r>
      <w:r w:rsidR="00F12537" w:rsidRPr="00E037F8">
        <w:t xml:space="preserve">ctor must </w:t>
      </w:r>
      <w:r w:rsidR="0008166A" w:rsidRPr="00E037F8">
        <w:t xml:space="preserve">conduct an on-site </w:t>
      </w:r>
      <w:r w:rsidR="00F12537" w:rsidRPr="00E037F8">
        <w:t xml:space="preserve">visit </w:t>
      </w:r>
      <w:r w:rsidR="0008166A" w:rsidRPr="00E037F8">
        <w:t xml:space="preserve">to </w:t>
      </w:r>
      <w:r w:rsidR="00F12537" w:rsidRPr="00E037F8">
        <w:t xml:space="preserve">the project </w:t>
      </w:r>
      <w:r w:rsidR="00E03183" w:rsidRPr="00E037F8">
        <w:t xml:space="preserve">site </w:t>
      </w:r>
      <w:r w:rsidR="00F12537" w:rsidRPr="00E037F8">
        <w:t>and interview some of the workers concerning t</w:t>
      </w:r>
      <w:r w:rsidR="00697042" w:rsidRPr="00E037F8">
        <w:t>heir employment on the project.</w:t>
      </w:r>
      <w:r w:rsidR="00F12537" w:rsidRPr="00E037F8">
        <w:t xml:space="preserve"> In addition, the LSO must periodically review payrolls and related submissions to ensure that the labor standards requirements have been met. </w:t>
      </w:r>
      <w:r w:rsidR="00D121BB" w:rsidRPr="00E037F8">
        <w:t>The LSO will notify the Grant Recipient if these reviews find any discrepancies or errors and will provide instructions about what steps must be taken to correct any problems.</w:t>
      </w:r>
      <w:r w:rsidR="006801D8" w:rsidRPr="00E037F8">
        <w:t xml:space="preserve"> </w:t>
      </w:r>
    </w:p>
    <w:p w14:paraId="43B46E5D" w14:textId="77777777" w:rsidR="001E549E" w:rsidRPr="00E037F8" w:rsidRDefault="001E549E" w:rsidP="007D3FBF">
      <w:pPr>
        <w:pStyle w:val="1BODYArial11"/>
        <w:spacing w:line="240" w:lineRule="auto"/>
        <w:rPr>
          <w:sz w:val="18"/>
        </w:rPr>
      </w:pPr>
    </w:p>
    <w:p w14:paraId="7BFAB129" w14:textId="29E62E78" w:rsidR="00743E58" w:rsidRPr="00E037F8" w:rsidRDefault="00F12537" w:rsidP="007D3FBF">
      <w:pPr>
        <w:pStyle w:val="1BODYArial11"/>
        <w:spacing w:line="240" w:lineRule="auto"/>
      </w:pPr>
      <w:r w:rsidRPr="00E037F8">
        <w:rPr>
          <w:b/>
          <w:bCs/>
        </w:rPr>
        <w:t xml:space="preserve">On-site </w:t>
      </w:r>
      <w:r w:rsidR="00D2447F">
        <w:rPr>
          <w:b/>
          <w:bCs/>
          <w:lang w:val="en-US"/>
        </w:rPr>
        <w:t>Interviews</w:t>
      </w:r>
      <w:r w:rsidR="00D2447F" w:rsidRPr="00E037F8">
        <w:t xml:space="preserve"> </w:t>
      </w:r>
    </w:p>
    <w:p w14:paraId="5B6B67C1" w14:textId="77777777" w:rsidR="00697042" w:rsidRPr="00E037F8" w:rsidRDefault="007F340A" w:rsidP="007D3FBF">
      <w:pPr>
        <w:pStyle w:val="1BODYArial11"/>
        <w:spacing w:line="240" w:lineRule="auto"/>
      </w:pPr>
      <w:r w:rsidRPr="00E037F8">
        <w:rPr>
          <w:lang w:val="en-US"/>
        </w:rPr>
        <w:t xml:space="preserve">The LSO </w:t>
      </w:r>
      <w:r w:rsidRPr="00E037F8">
        <w:rPr>
          <w:b/>
          <w:bCs/>
          <w:lang w:val="en-US"/>
        </w:rPr>
        <w:t>must</w:t>
      </w:r>
      <w:r w:rsidRPr="00E037F8">
        <w:rPr>
          <w:lang w:val="en-US"/>
        </w:rPr>
        <w:t xml:space="preserve"> conduct employee interviews to verify that contractors are complying with labor standards requirements.</w:t>
      </w:r>
      <w:r w:rsidR="008D33F3" w:rsidRPr="00E037F8">
        <w:rPr>
          <w:lang w:val="en-US"/>
        </w:rPr>
        <w:t xml:space="preserve"> </w:t>
      </w:r>
      <w:r w:rsidR="00F12537" w:rsidRPr="00E037F8">
        <w:t xml:space="preserve">Every employer (contractor, subcontractor, etc.) </w:t>
      </w:r>
      <w:r w:rsidR="00F12537" w:rsidRPr="00E037F8">
        <w:rPr>
          <w:b/>
          <w:bCs/>
        </w:rPr>
        <w:t>must</w:t>
      </w:r>
      <w:r w:rsidR="00F12537" w:rsidRPr="00E037F8">
        <w:t xml:space="preserve"> make their employees available for interview</w:t>
      </w:r>
      <w:r w:rsidR="008D33F3" w:rsidRPr="00E037F8">
        <w:rPr>
          <w:lang w:val="en-US"/>
        </w:rPr>
        <w:t>s</w:t>
      </w:r>
      <w:r w:rsidR="00F12537" w:rsidRPr="00E037F8">
        <w:t xml:space="preserve"> at the job site with the LSO, </w:t>
      </w:r>
      <w:r w:rsidR="00A850EE" w:rsidRPr="00E037F8">
        <w:t xml:space="preserve">TDA’s </w:t>
      </w:r>
      <w:r w:rsidR="00F12537" w:rsidRPr="00E037F8">
        <w:t xml:space="preserve">TxCDBG representative, HUD representative or DOL representative. </w:t>
      </w:r>
    </w:p>
    <w:p w14:paraId="42784CAD" w14:textId="77777777" w:rsidR="00D121BB" w:rsidRPr="00E037F8" w:rsidRDefault="00685EC8" w:rsidP="007D3FBF">
      <w:pPr>
        <w:pStyle w:val="2BULLETArial11"/>
      </w:pPr>
      <w:r w:rsidRPr="00E037F8">
        <w:t xml:space="preserve">Employee Interviews should be representative of all classifications of employees on the project. The number and quality of interviews documented should reflect that the </w:t>
      </w:r>
      <w:r w:rsidR="00971267" w:rsidRPr="00E037F8">
        <w:t>LSO</w:t>
      </w:r>
      <w:r w:rsidRPr="00E037F8">
        <w:t xml:space="preserve"> is diligently ensuring that workers are paid at least minimum prevailing wage rates. </w:t>
      </w:r>
    </w:p>
    <w:p w14:paraId="1C226277" w14:textId="77777777" w:rsidR="00685EC8" w:rsidRPr="00E037F8" w:rsidRDefault="00685EC8" w:rsidP="007D3FBF">
      <w:pPr>
        <w:pStyle w:val="2BULLETArial11"/>
      </w:pPr>
      <w:r w:rsidRPr="00E037F8">
        <w:t xml:space="preserve">For </w:t>
      </w:r>
      <w:r w:rsidR="007F340A" w:rsidRPr="00E037F8">
        <w:t xml:space="preserve">every </w:t>
      </w:r>
      <w:r w:rsidRPr="00E037F8">
        <w:t xml:space="preserve">prime contractor and </w:t>
      </w:r>
      <w:r w:rsidR="007F340A" w:rsidRPr="00E037F8">
        <w:t xml:space="preserve">every </w:t>
      </w:r>
      <w:r w:rsidRPr="00E037F8">
        <w:t xml:space="preserve">subcontractor, </w:t>
      </w:r>
      <w:r w:rsidR="00071B26" w:rsidRPr="00E037F8">
        <w:t>a minimum of</w:t>
      </w:r>
      <w:r w:rsidRPr="00E037F8">
        <w:t xml:space="preserve"> </w:t>
      </w:r>
      <w:r w:rsidR="000560A7" w:rsidRPr="00E037F8">
        <w:t>one</w:t>
      </w:r>
      <w:r w:rsidRPr="00E037F8">
        <w:t xml:space="preserve"> employee in each classification must be interviewed</w:t>
      </w:r>
      <w:r w:rsidR="00071B26" w:rsidRPr="00E037F8">
        <w:t>, with at least 25% of the total number of the employees interviewed</w:t>
      </w:r>
      <w:r w:rsidRPr="00E037F8">
        <w:t>.</w:t>
      </w:r>
    </w:p>
    <w:p w14:paraId="6E282BFF" w14:textId="77777777" w:rsidR="00D121BB" w:rsidRPr="00E037F8" w:rsidRDefault="00F12537" w:rsidP="007D3FBF">
      <w:pPr>
        <w:pStyle w:val="2BULLETArial11"/>
      </w:pPr>
      <w:r w:rsidRPr="00E037F8">
        <w:t xml:space="preserve">The interviews are </w:t>
      </w:r>
      <w:r w:rsidR="00CD2364" w:rsidRPr="00E037F8">
        <w:t>confidential,</w:t>
      </w:r>
      <w:r w:rsidRPr="00E037F8">
        <w:t xml:space="preserve"> and the employee will be asked about the kind of work they perform and their rate of pay. </w:t>
      </w:r>
    </w:p>
    <w:p w14:paraId="162CBB64" w14:textId="77777777" w:rsidR="00D121BB" w:rsidRPr="006927E0" w:rsidRDefault="00F12537" w:rsidP="007D3FBF">
      <w:pPr>
        <w:pStyle w:val="2BULLETArial11"/>
      </w:pPr>
      <w:r w:rsidRPr="00E037F8">
        <w:t>Every effort will be made to ensure that these interviews cause as little disruption as possible</w:t>
      </w:r>
      <w:r w:rsidRPr="006927E0">
        <w:t xml:space="preserve"> to the on-going work. </w:t>
      </w:r>
    </w:p>
    <w:p w14:paraId="4D1DB894" w14:textId="625D6C03" w:rsidR="00133BD2" w:rsidRPr="006927E0" w:rsidRDefault="00D121BB" w:rsidP="007D3FBF">
      <w:pPr>
        <w:pStyle w:val="2BULLETArial11"/>
      </w:pPr>
      <w:r w:rsidRPr="006927E0">
        <w:t>I</w:t>
      </w:r>
      <w:r w:rsidR="00F12537" w:rsidRPr="006927E0">
        <w:t xml:space="preserve">nterview information </w:t>
      </w:r>
      <w:r w:rsidRPr="006927E0">
        <w:t xml:space="preserve">must be recorded </w:t>
      </w:r>
      <w:r w:rsidR="00F12537" w:rsidRPr="006927E0">
        <w:t xml:space="preserve">on the </w:t>
      </w:r>
      <w:r w:rsidR="00F12537" w:rsidRPr="000560A7">
        <w:rPr>
          <w:i/>
          <w:iCs/>
        </w:rPr>
        <w:t>Record of Employee Interview</w:t>
      </w:r>
      <w:r w:rsidR="00F12537" w:rsidRPr="006927E0">
        <w:t xml:space="preserve"> </w:t>
      </w:r>
      <w:r w:rsidR="00F12537" w:rsidRPr="000560A7">
        <w:rPr>
          <w:b/>
          <w:bCs/>
        </w:rPr>
        <w:t>(Form A707)</w:t>
      </w:r>
      <w:r w:rsidR="00C35FA9" w:rsidRPr="006927E0">
        <w:t xml:space="preserve"> </w:t>
      </w:r>
    </w:p>
    <w:p w14:paraId="083EEA06" w14:textId="77777777" w:rsidR="00F12537" w:rsidRDefault="00F12537" w:rsidP="007D3FBF">
      <w:pPr>
        <w:pStyle w:val="2BULLETArial11"/>
      </w:pPr>
      <w:r w:rsidRPr="006927E0">
        <w:t xml:space="preserve">If employees are not available for interview during the LSO’s on-site visit, the LSO must </w:t>
      </w:r>
      <w:r w:rsidR="00EF5B21" w:rsidRPr="006927E0">
        <w:t xml:space="preserve">document the </w:t>
      </w:r>
      <w:r w:rsidR="00DA5201" w:rsidRPr="006927E0">
        <w:t xml:space="preserve">date of the on-site visit, the reason employees were not available, and the </w:t>
      </w:r>
      <w:r w:rsidR="00EF5B21" w:rsidRPr="006927E0">
        <w:t xml:space="preserve">attempt to </w:t>
      </w:r>
      <w:r w:rsidRPr="006927E0">
        <w:t>obtain the required information through other means, such as mailed questionnaires.</w:t>
      </w:r>
    </w:p>
    <w:p w14:paraId="70A49D00" w14:textId="77777777" w:rsidR="007F340A" w:rsidRPr="006927E0" w:rsidRDefault="007F340A" w:rsidP="007D3FBF">
      <w:pPr>
        <w:pStyle w:val="2BULLETArial11"/>
      </w:pPr>
      <w:r>
        <w:t>Failure to conduct employee interviews will result in a finding of non-compliance, and potentially disallowed costs.</w:t>
      </w:r>
      <w:r w:rsidR="008D33F3">
        <w:t xml:space="preserve"> </w:t>
      </w:r>
      <w:r>
        <w:t xml:space="preserve">Contractors that refuse to make employees available </w:t>
      </w:r>
      <w:r w:rsidR="00C4160D">
        <w:t>may be reported to DOL, and LSOs that do not ensure interviews are conducted may receive an administrative penalty.</w:t>
      </w:r>
      <w:r w:rsidR="00743E58">
        <w:t xml:space="preserve"> </w:t>
      </w:r>
      <w:r w:rsidR="00C4160D">
        <w:t>Communication between the Grant Recipient, LSO, and prime contractor is critical to ensure that all required interviews are completed, especially when crews are only onsite for a short period of time.</w:t>
      </w:r>
    </w:p>
    <w:p w14:paraId="76280B5F" w14:textId="77777777" w:rsidR="00F12537" w:rsidRPr="00BB6BBD" w:rsidRDefault="00F12537" w:rsidP="007D3FBF">
      <w:pPr>
        <w:jc w:val="both"/>
        <w:rPr>
          <w:rFonts w:cs="Arial"/>
          <w:sz w:val="16"/>
          <w:szCs w:val="22"/>
          <w:u w:val="single"/>
        </w:rPr>
      </w:pPr>
    </w:p>
    <w:p w14:paraId="79493DCF" w14:textId="4DE669CE" w:rsidR="00743E58" w:rsidRDefault="00F12537" w:rsidP="007D3FBF">
      <w:pPr>
        <w:pStyle w:val="1BODYArial11"/>
        <w:spacing w:line="240" w:lineRule="auto"/>
        <w:rPr>
          <w:b/>
          <w:bCs/>
        </w:rPr>
      </w:pPr>
      <w:r w:rsidRPr="006927E0">
        <w:rPr>
          <w:b/>
          <w:bCs/>
        </w:rPr>
        <w:t xml:space="preserve">Project </w:t>
      </w:r>
      <w:r w:rsidR="00D2447F">
        <w:rPr>
          <w:b/>
          <w:bCs/>
          <w:lang w:val="en-US"/>
        </w:rPr>
        <w:t>Payroll</w:t>
      </w:r>
      <w:r w:rsidR="00D2447F" w:rsidRPr="006927E0">
        <w:rPr>
          <w:b/>
          <w:bCs/>
        </w:rPr>
        <w:t xml:space="preserve"> </w:t>
      </w:r>
      <w:r w:rsidR="00743E58">
        <w:rPr>
          <w:b/>
          <w:bCs/>
          <w:lang w:val="en-US"/>
        </w:rPr>
        <w:t>Re</w:t>
      </w:r>
      <w:r w:rsidRPr="006927E0">
        <w:rPr>
          <w:b/>
          <w:bCs/>
        </w:rPr>
        <w:t>views</w:t>
      </w:r>
    </w:p>
    <w:p w14:paraId="09D5299C" w14:textId="6F947F19" w:rsidR="00D121BB" w:rsidRPr="009C1057" w:rsidRDefault="00F12537" w:rsidP="007D3FBF">
      <w:pPr>
        <w:pStyle w:val="1BODYArial11"/>
        <w:spacing w:line="240" w:lineRule="auto"/>
        <w:rPr>
          <w:i/>
          <w:lang w:val="en-US"/>
        </w:rPr>
      </w:pPr>
      <w:r w:rsidRPr="00B67E4F">
        <w:t>A weekly certified payroll report for all prime and subcontractors must be completed and kept in the local contract files, beginning with the first week in which construction begins on the project and for every week after until the work is complete</w:t>
      </w:r>
      <w:r w:rsidR="008D33F3">
        <w:rPr>
          <w:lang w:val="en-US"/>
        </w:rPr>
        <w:t xml:space="preserve">, </w:t>
      </w:r>
      <w:r w:rsidR="002B69F6" w:rsidRPr="00B67E4F">
        <w:t xml:space="preserve">unless construction is suspended with </w:t>
      </w:r>
      <w:r w:rsidR="00EF5B21" w:rsidRPr="00B67E4F">
        <w:t>documentation</w:t>
      </w:r>
      <w:r w:rsidR="00697042">
        <w:t xml:space="preserve">. </w:t>
      </w:r>
      <w:r w:rsidR="00D121BB" w:rsidRPr="00B67E4F">
        <w:t>The LSO must review the payroll submissions to ensure that</w:t>
      </w:r>
      <w:r w:rsidR="007A535E">
        <w:rPr>
          <w:lang w:val="en-US"/>
        </w:rPr>
        <w:t>:</w:t>
      </w:r>
    </w:p>
    <w:p w14:paraId="51A9FF71" w14:textId="35059EE2" w:rsidR="00D121BB" w:rsidRPr="00B67E4F" w:rsidRDefault="007A535E" w:rsidP="007D3FBF">
      <w:pPr>
        <w:pStyle w:val="2BULLETArial11"/>
      </w:pPr>
      <w:r>
        <w:t>W</w:t>
      </w:r>
      <w:r w:rsidR="00F12537" w:rsidRPr="00B67E4F">
        <w:t>orkers are properly listed on the payrolls for the days, work classification, and rate of pay</w:t>
      </w:r>
      <w:r w:rsidR="00D121BB" w:rsidRPr="00B67E4F">
        <w:t xml:space="preserve"> (compare to interview forms</w:t>
      </w:r>
      <w:proofErr w:type="gramStart"/>
      <w:r w:rsidR="00D121BB" w:rsidRPr="00B67E4F">
        <w:t>);</w:t>
      </w:r>
      <w:proofErr w:type="gramEnd"/>
    </w:p>
    <w:p w14:paraId="01B96D9E" w14:textId="0773EBA9" w:rsidR="00D121BB" w:rsidRPr="00B67E4F" w:rsidRDefault="007A535E" w:rsidP="007D3FBF">
      <w:pPr>
        <w:pStyle w:val="2BULLETArial11"/>
      </w:pPr>
      <w:r>
        <w:t>T</w:t>
      </w:r>
      <w:r w:rsidR="00F12537" w:rsidRPr="00B67E4F">
        <w:t xml:space="preserve">he payrolls are complete and </w:t>
      </w:r>
      <w:proofErr w:type="gramStart"/>
      <w:r w:rsidR="00F12537" w:rsidRPr="00B67E4F">
        <w:t>signed;</w:t>
      </w:r>
      <w:proofErr w:type="gramEnd"/>
      <w:r w:rsidR="00F12537" w:rsidRPr="00B67E4F">
        <w:t xml:space="preserve"> </w:t>
      </w:r>
    </w:p>
    <w:p w14:paraId="41AEF887" w14:textId="05245B3C" w:rsidR="00D121BB" w:rsidRPr="00B67E4F" w:rsidRDefault="007A535E" w:rsidP="007D3FBF">
      <w:pPr>
        <w:pStyle w:val="2BULLETArial11"/>
      </w:pPr>
      <w:r>
        <w:t>E</w:t>
      </w:r>
      <w:r w:rsidR="00F12537" w:rsidRPr="00B67E4F">
        <w:t xml:space="preserve">mployees are paid no less than the wage rate for the work classification </w:t>
      </w:r>
      <w:proofErr w:type="gramStart"/>
      <w:r w:rsidR="00F12537" w:rsidRPr="00B67E4F">
        <w:t>shown;</w:t>
      </w:r>
      <w:proofErr w:type="gramEnd"/>
      <w:r w:rsidR="00F12537" w:rsidRPr="00B67E4F">
        <w:t xml:space="preserve"> </w:t>
      </w:r>
    </w:p>
    <w:p w14:paraId="70811A60" w14:textId="5ECCC00C" w:rsidR="00D121BB" w:rsidRPr="00B67E4F" w:rsidRDefault="007A535E" w:rsidP="007D3FBF">
      <w:pPr>
        <w:pStyle w:val="2BULLETArial11"/>
      </w:pPr>
      <w:r>
        <w:t>A</w:t>
      </w:r>
      <w:r w:rsidR="00F12537" w:rsidRPr="00B67E4F">
        <w:t xml:space="preserve">pprentice and trainee certifications are submitted (where needed); </w:t>
      </w:r>
      <w:r w:rsidR="009B486A">
        <w:t>and</w:t>
      </w:r>
    </w:p>
    <w:p w14:paraId="23DDC2B9" w14:textId="6FF06F7D" w:rsidR="00CD2364" w:rsidRDefault="007A535E" w:rsidP="007D3FBF">
      <w:pPr>
        <w:pStyle w:val="2BULLETArial11"/>
      </w:pPr>
      <w:r>
        <w:t>E</w:t>
      </w:r>
      <w:r w:rsidR="00F12537" w:rsidRPr="00B67E4F">
        <w:t xml:space="preserve">mployee authorizations for other deductions are </w:t>
      </w:r>
      <w:r w:rsidR="00D121BB" w:rsidRPr="00B67E4F">
        <w:t>submitted (where needed).</w:t>
      </w:r>
    </w:p>
    <w:p w14:paraId="0D83F1C7" w14:textId="5519F57E" w:rsidR="006927E0" w:rsidRDefault="006927E0" w:rsidP="007D3FBF">
      <w:pPr>
        <w:pStyle w:val="2BULLETArial11"/>
        <w:numPr>
          <w:ilvl w:val="0"/>
          <w:numId w:val="0"/>
        </w:numPr>
        <w:spacing w:line="240" w:lineRule="auto"/>
        <w:ind w:left="360"/>
      </w:pPr>
    </w:p>
    <w:p w14:paraId="19DF061C" w14:textId="1E569393" w:rsidR="00743E58" w:rsidRDefault="00493C19" w:rsidP="007D3FBF">
      <w:pPr>
        <w:pStyle w:val="1BODYArial11"/>
        <w:spacing w:line="240" w:lineRule="auto"/>
        <w:rPr>
          <w:lang w:val="en-US"/>
        </w:rPr>
      </w:pPr>
      <w:r w:rsidRPr="006927E0">
        <w:rPr>
          <w:b/>
          <w:bCs/>
        </w:rPr>
        <w:t xml:space="preserve">Apprentices and </w:t>
      </w:r>
      <w:r w:rsidR="00D2447F">
        <w:rPr>
          <w:b/>
          <w:bCs/>
          <w:lang w:val="en-US"/>
        </w:rPr>
        <w:t>Trainees</w:t>
      </w:r>
    </w:p>
    <w:p w14:paraId="1BFA1719" w14:textId="77777777" w:rsidR="008E322F" w:rsidRPr="00106B10" w:rsidRDefault="008E322F" w:rsidP="007D3FBF">
      <w:pPr>
        <w:pStyle w:val="1BODYArial11"/>
        <w:spacing w:line="240" w:lineRule="auto"/>
        <w:ind w:right="-144"/>
      </w:pPr>
      <w:r w:rsidRPr="00106B10">
        <w:t xml:space="preserve">Employees </w:t>
      </w:r>
      <w:r w:rsidR="00BA2CBE">
        <w:rPr>
          <w:lang w:val="en-US"/>
        </w:rPr>
        <w:t>who</w:t>
      </w:r>
      <w:r w:rsidRPr="00106B10">
        <w:t xml:space="preserve"> meet the following definition may be employed as apprentices on Davis-Bacon project:</w:t>
      </w:r>
    </w:p>
    <w:p w14:paraId="6454D307" w14:textId="77777777" w:rsidR="008E322F" w:rsidRPr="00B109E4" w:rsidRDefault="008E322F" w:rsidP="007D3FBF">
      <w:pPr>
        <w:pStyle w:val="2BULLETArial11"/>
      </w:pPr>
      <w:r w:rsidRPr="00B109E4">
        <w:t>A person employed and individually registered in a bona fide apprenticeship program registered with the U.S. Department of Labor, Employment and Training Administration, Bureau of Apprenticeship and Training, or with the State of Texas Apprenticeship Agency.</w:t>
      </w:r>
    </w:p>
    <w:p w14:paraId="25308F2F" w14:textId="77777777" w:rsidR="008E322F" w:rsidRPr="00B109E4" w:rsidRDefault="008E322F" w:rsidP="007D3FBF">
      <w:pPr>
        <w:pStyle w:val="2BULLETArial11"/>
      </w:pPr>
      <w:r w:rsidRPr="00B109E4">
        <w:t>A person in the first 90 days of probationary employment as an apprentice in such an apprenticeship program, who is not individually registered in the program, but who has been properly certified to be eligible for probationary employment as an apprentice.</w:t>
      </w:r>
    </w:p>
    <w:p w14:paraId="52F1B72B" w14:textId="77777777" w:rsidR="008E322F" w:rsidRPr="00106B10" w:rsidRDefault="008E322F" w:rsidP="007D3FBF">
      <w:pPr>
        <w:tabs>
          <w:tab w:val="left" w:pos="1668"/>
        </w:tabs>
        <w:rPr>
          <w:rFonts w:cs="Arial"/>
          <w:szCs w:val="22"/>
        </w:rPr>
      </w:pPr>
    </w:p>
    <w:p w14:paraId="1E0CD633" w14:textId="77777777" w:rsidR="008E322F" w:rsidRPr="00B26D00" w:rsidRDefault="008E322F" w:rsidP="007D3FBF">
      <w:pPr>
        <w:pStyle w:val="1BODYArial11"/>
        <w:spacing w:line="240" w:lineRule="auto"/>
      </w:pPr>
      <w:r w:rsidRPr="00B26D00">
        <w:t>Employed trainees must be persons registered in a construction occupation under a program which has been approved in advance by the U.S.</w:t>
      </w:r>
      <w:r>
        <w:rPr>
          <w:lang w:val="en-US"/>
        </w:rPr>
        <w:t xml:space="preserve"> </w:t>
      </w:r>
      <w:r w:rsidRPr="00B26D00">
        <w:t>Department of Labor, Employment and Training Administration, as meeting its standards for on-the-job training programs and which have been certified by that administration.</w:t>
      </w:r>
    </w:p>
    <w:p w14:paraId="6D821361" w14:textId="77777777" w:rsidR="008E322F" w:rsidRPr="00106B10" w:rsidRDefault="008E322F" w:rsidP="007D3FBF">
      <w:pPr>
        <w:pStyle w:val="1BODYArial11"/>
        <w:spacing w:line="240" w:lineRule="auto"/>
      </w:pPr>
    </w:p>
    <w:p w14:paraId="322E5A90" w14:textId="5733BCC2" w:rsidR="008E322F" w:rsidRDefault="008E322F" w:rsidP="007D3FBF">
      <w:pPr>
        <w:pStyle w:val="1BODYArial11"/>
        <w:spacing w:line="240" w:lineRule="auto"/>
      </w:pPr>
      <w:r w:rsidRPr="00106B10">
        <w:t xml:space="preserve">The proper wage rates to be paid to apprentices and trainees are those specified by the particular programs in which they are enrolled, expressed as a percentage of the journeyman rate on the wage determination. In the event employees reported as apprentices or trainees on a covered project have not been properly registered within the meaning of the </w:t>
      </w:r>
      <w:r w:rsidR="00BA2CBE">
        <w:rPr>
          <w:lang w:val="en-US"/>
        </w:rPr>
        <w:t>r</w:t>
      </w:r>
      <w:r w:rsidR="00F3722E" w:rsidRPr="00106B10">
        <w:t>egulations</w:t>
      </w:r>
      <w:r w:rsidRPr="00106B10">
        <w:t xml:space="preserve"> and the contract stipulations, or are utilized at the job site in excess of the ratio to journeymen permitted under the approved program, they must be paid the applicable wage rates for laborers and mechanics</w:t>
      </w:r>
      <w:r>
        <w:rPr>
          <w:lang w:val="en-US"/>
        </w:rPr>
        <w:t xml:space="preserve"> </w:t>
      </w:r>
      <w:r w:rsidRPr="00106B10">
        <w:t>employed on the project performing in the classification of work they actually performed.</w:t>
      </w:r>
      <w:r w:rsidR="008451DD">
        <w:rPr>
          <w:rStyle w:val="FootnoteReference"/>
        </w:rPr>
        <w:footnoteReference w:id="3"/>
      </w:r>
      <w:r w:rsidRPr="00106B10">
        <w:t xml:space="preserve"> This applies regardless of work classifications, which may be listed on the submitted payrolls and regardless of their skill level.</w:t>
      </w:r>
    </w:p>
    <w:p w14:paraId="37551690" w14:textId="77777777" w:rsidR="008E322F" w:rsidRPr="00106B10" w:rsidRDefault="008E322F" w:rsidP="007D3FBF">
      <w:pPr>
        <w:pStyle w:val="1BODYArial11"/>
        <w:spacing w:line="240" w:lineRule="auto"/>
      </w:pPr>
    </w:p>
    <w:p w14:paraId="564F5A64" w14:textId="77777777" w:rsidR="00493C19" w:rsidRPr="00106B10" w:rsidRDefault="00743E58" w:rsidP="007D3FBF">
      <w:pPr>
        <w:pStyle w:val="1BODYArial11"/>
        <w:spacing w:line="240" w:lineRule="auto"/>
      </w:pPr>
      <w:r>
        <w:rPr>
          <w:lang w:val="en-US"/>
        </w:rPr>
        <w:t xml:space="preserve">If </w:t>
      </w:r>
      <w:r w:rsidR="00493C19" w:rsidRPr="00106B10">
        <w:t>a copy of the employee’s registration or the approved program ratio and wage schedule are not submitted w</w:t>
      </w:r>
      <w:r w:rsidR="00F829A1" w:rsidRPr="00106B10">
        <w:t>i</w:t>
      </w:r>
      <w:r w:rsidR="00493C19" w:rsidRPr="00106B10">
        <w:t xml:space="preserve">th the first payroll on which the apprentice or trainee appears, the LSO must request from the employer to submit a copy of </w:t>
      </w:r>
      <w:r w:rsidR="00986A92" w:rsidRPr="00106B10">
        <w:t xml:space="preserve">the </w:t>
      </w:r>
      <w:r w:rsidR="00493C19" w:rsidRPr="00106B10">
        <w:t xml:space="preserve">apprentice’s or trainee’s registration and/or </w:t>
      </w:r>
      <w:r w:rsidR="007759E5" w:rsidRPr="00106B10">
        <w:t>approved program ratio and wage schedule. If the ratio of apprentices or trainees to journeymen on the payroll is great</w:t>
      </w:r>
      <w:r w:rsidR="00495C43" w:rsidRPr="00106B10">
        <w:t>er</w:t>
      </w:r>
      <w:r w:rsidR="007759E5" w:rsidRPr="00106B10">
        <w:t xml:space="preserve"> than the ratio in the approved program, the employer must pay wage restitution to any affected apprentices and/or trainees. If the apprentices and/or trainees are not registered in an approved program, they must receive the journeyman’s wage rate for the classification of work they performed.</w:t>
      </w:r>
    </w:p>
    <w:p w14:paraId="3D4BA47E" w14:textId="77777777" w:rsidR="00E723B2" w:rsidRPr="00BB6BBD" w:rsidRDefault="00E723B2" w:rsidP="007D3FBF">
      <w:pPr>
        <w:pStyle w:val="1BODYArial11"/>
        <w:spacing w:line="240" w:lineRule="auto"/>
        <w:rPr>
          <w:b/>
          <w:sz w:val="18"/>
        </w:rPr>
      </w:pPr>
    </w:p>
    <w:p w14:paraId="19F23A69" w14:textId="4A9454CD" w:rsidR="00F12537" w:rsidRPr="006927E0" w:rsidRDefault="007A535E" w:rsidP="007D3FBF">
      <w:pPr>
        <w:pStyle w:val="1BODYArial11"/>
        <w:spacing w:line="240" w:lineRule="auto"/>
      </w:pPr>
      <w:r>
        <w:rPr>
          <w:i/>
          <w:iCs/>
          <w:lang w:val="en-US"/>
        </w:rPr>
        <w:t xml:space="preserve">Sample DOL </w:t>
      </w:r>
      <w:r w:rsidR="006A6550" w:rsidRPr="00467048">
        <w:rPr>
          <w:i/>
          <w:iCs/>
        </w:rPr>
        <w:t>Payrol</w:t>
      </w:r>
      <w:r>
        <w:rPr>
          <w:i/>
          <w:iCs/>
          <w:lang w:val="en-US"/>
        </w:rPr>
        <w:t>l Form</w:t>
      </w:r>
      <w:r w:rsidR="006A6550" w:rsidRPr="00B67E4F">
        <w:t xml:space="preserve"> </w:t>
      </w:r>
      <w:r w:rsidR="006A6550" w:rsidRPr="00B67E4F">
        <w:rPr>
          <w:b/>
        </w:rPr>
        <w:t xml:space="preserve">(Form A708) </w:t>
      </w:r>
      <w:r w:rsidR="00F12537" w:rsidRPr="006927E0">
        <w:t>is the suggested payro</w:t>
      </w:r>
      <w:r w:rsidR="00697042" w:rsidRPr="006927E0">
        <w:t xml:space="preserve">ll format for TxCDBG projects. </w:t>
      </w:r>
      <w:r w:rsidR="00F12537" w:rsidRPr="006927E0">
        <w:t xml:space="preserve">Employers may use any other type of payroll, such as computerized formats, as long as </w:t>
      </w:r>
      <w:r w:rsidR="00E84F29">
        <w:rPr>
          <w:lang w:val="en-US"/>
        </w:rPr>
        <w:t xml:space="preserve">it contains </w:t>
      </w:r>
      <w:r w:rsidR="00F12537" w:rsidRPr="006927E0">
        <w:t xml:space="preserve">all required information from </w:t>
      </w:r>
      <w:r w:rsidR="00F12537" w:rsidRPr="00CD2364">
        <w:rPr>
          <w:b/>
          <w:bCs/>
        </w:rPr>
        <w:t>Form</w:t>
      </w:r>
      <w:r w:rsidR="00F12537" w:rsidRPr="006927E0">
        <w:t xml:space="preserve"> </w:t>
      </w:r>
      <w:r w:rsidR="00F12537" w:rsidRPr="006927E0">
        <w:rPr>
          <w:b/>
          <w:bCs/>
        </w:rPr>
        <w:t>A708</w:t>
      </w:r>
      <w:r w:rsidR="00F12537" w:rsidRPr="006927E0">
        <w:t xml:space="preserve"> </w:t>
      </w:r>
      <w:r w:rsidR="00E84F29">
        <w:rPr>
          <w:lang w:val="en-US"/>
        </w:rPr>
        <w:t xml:space="preserve">and includes the Statement of Compliance and </w:t>
      </w:r>
      <w:r>
        <w:rPr>
          <w:lang w:val="en-US"/>
        </w:rPr>
        <w:t xml:space="preserve">required </w:t>
      </w:r>
      <w:r w:rsidR="00E84F29">
        <w:rPr>
          <w:lang w:val="en-US"/>
        </w:rPr>
        <w:t>contractor certifications</w:t>
      </w:r>
      <w:r>
        <w:rPr>
          <w:lang w:val="en-US"/>
        </w:rPr>
        <w:t>.</w:t>
      </w:r>
      <w:r>
        <w:rPr>
          <w:rStyle w:val="FootnoteReference"/>
          <w:lang w:val="en-US"/>
        </w:rPr>
        <w:footnoteReference w:id="4"/>
      </w:r>
      <w:r w:rsidR="00697042" w:rsidRPr="006927E0">
        <w:t xml:space="preserve"> </w:t>
      </w:r>
      <w:r w:rsidR="001E57C3" w:rsidRPr="006927E0">
        <w:t xml:space="preserve">See </w:t>
      </w:r>
      <w:r w:rsidR="001E57C3" w:rsidRPr="00307C40">
        <w:rPr>
          <w:i/>
          <w:iCs/>
        </w:rPr>
        <w:t>Appendix A</w:t>
      </w:r>
      <w:r w:rsidR="001E57C3" w:rsidRPr="006927E0">
        <w:t xml:space="preserve"> for </w:t>
      </w:r>
      <w:r w:rsidR="008451DD">
        <w:rPr>
          <w:lang w:val="en-US"/>
        </w:rPr>
        <w:t xml:space="preserve">a </w:t>
      </w:r>
      <w:r w:rsidR="001E57C3" w:rsidRPr="006927E0">
        <w:t>link to DOL’s</w:t>
      </w:r>
      <w:r w:rsidR="00504353" w:rsidRPr="006927E0">
        <w:t xml:space="preserve"> fillable</w:t>
      </w:r>
      <w:r w:rsidR="00260A22" w:rsidRPr="006927E0">
        <w:t xml:space="preserve"> WH</w:t>
      </w:r>
      <w:r w:rsidR="00BF38F2">
        <w:rPr>
          <w:lang w:val="en-US"/>
        </w:rPr>
        <w:t>-</w:t>
      </w:r>
      <w:r w:rsidR="00260A22" w:rsidRPr="006927E0">
        <w:t>FORM 347</w:t>
      </w:r>
      <w:r w:rsidR="00A850EE" w:rsidRPr="006927E0">
        <w:t>.</w:t>
      </w:r>
      <w:r w:rsidR="00263485" w:rsidRPr="006927E0">
        <w:t xml:space="preserve"> </w:t>
      </w:r>
    </w:p>
    <w:p w14:paraId="7CB7904E" w14:textId="77777777" w:rsidR="006F725B" w:rsidRPr="00BB6BBD" w:rsidRDefault="006F725B" w:rsidP="007D3FBF">
      <w:pPr>
        <w:ind w:left="720"/>
        <w:jc w:val="both"/>
        <w:rPr>
          <w:rFonts w:cs="Arial"/>
          <w:b/>
          <w:sz w:val="18"/>
          <w:szCs w:val="22"/>
        </w:rPr>
      </w:pPr>
    </w:p>
    <w:p w14:paraId="0AE803E2" w14:textId="77777777" w:rsidR="00D2447F" w:rsidRDefault="00D2447F" w:rsidP="0089611C">
      <w:pPr>
        <w:pStyle w:val="3BOLDArial11"/>
        <w:spacing w:line="240" w:lineRule="auto"/>
        <w:jc w:val="left"/>
      </w:pPr>
    </w:p>
    <w:p w14:paraId="2927E916" w14:textId="7A6835E1" w:rsidR="009A617B" w:rsidRDefault="00BF38F2" w:rsidP="0089611C">
      <w:pPr>
        <w:pStyle w:val="3BOLDArial11"/>
        <w:spacing w:line="240" w:lineRule="auto"/>
        <w:jc w:val="left"/>
      </w:pPr>
      <w:r>
        <w:t>Step</w:t>
      </w:r>
      <w:r w:rsidR="00F12537" w:rsidRPr="006506E0">
        <w:t xml:space="preserve"> 1</w:t>
      </w:r>
      <w:r w:rsidR="003C0B91">
        <w:t>1</w:t>
      </w:r>
      <w:r w:rsidR="00CD2364">
        <w:t xml:space="preserve">. </w:t>
      </w:r>
      <w:r w:rsidR="00F12537" w:rsidRPr="006506E0">
        <w:t xml:space="preserve">Submit </w:t>
      </w:r>
      <w:r w:rsidR="00743E58">
        <w:t>C</w:t>
      </w:r>
      <w:r w:rsidR="00F12537" w:rsidRPr="006506E0">
        <w:t xml:space="preserve">onstruction </w:t>
      </w:r>
      <w:r w:rsidR="00743E58">
        <w:t>C</w:t>
      </w:r>
      <w:r w:rsidR="00F12537" w:rsidRPr="006506E0">
        <w:t xml:space="preserve">ompletion </w:t>
      </w:r>
      <w:r w:rsidR="00743E58">
        <w:t>R</w:t>
      </w:r>
      <w:r w:rsidR="00F12537" w:rsidRPr="006506E0">
        <w:t>eports</w:t>
      </w:r>
    </w:p>
    <w:p w14:paraId="7B25C86E" w14:textId="77777777" w:rsidR="00287947" w:rsidRDefault="00F12537" w:rsidP="007D3FBF">
      <w:pPr>
        <w:pStyle w:val="1BODYArial11"/>
        <w:spacing w:line="240" w:lineRule="auto"/>
        <w:rPr>
          <w:lang w:val="en-US"/>
        </w:rPr>
      </w:pPr>
      <w:r w:rsidRPr="007F1A00">
        <w:t xml:space="preserve">Upon completion of the construction </w:t>
      </w:r>
      <w:r w:rsidRPr="006801D8">
        <w:t>contract</w:t>
      </w:r>
      <w:r w:rsidR="00CC6F55" w:rsidRPr="006801D8">
        <w:t xml:space="preserve">, after all work has been completed including punch list items, </w:t>
      </w:r>
      <w:r w:rsidRPr="006801D8">
        <w:t>a final inspection must be conducted and all parties must agree that the</w:t>
      </w:r>
      <w:r w:rsidRPr="00B67E4F">
        <w:t xml:space="preserve"> work is acceptable. </w:t>
      </w:r>
      <w:r w:rsidR="00452A6C">
        <w:rPr>
          <w:lang w:val="en-US"/>
        </w:rPr>
        <w:t xml:space="preserve">Complete the </w:t>
      </w:r>
      <w:r w:rsidR="005105BF" w:rsidRPr="009C1057">
        <w:rPr>
          <w:i/>
          <w:iCs/>
          <w:lang w:val="en-US"/>
        </w:rPr>
        <w:t>Final Wage Compliance</w:t>
      </w:r>
      <w:r w:rsidR="005105BF">
        <w:rPr>
          <w:lang w:val="en-US"/>
        </w:rPr>
        <w:t xml:space="preserve"> page</w:t>
      </w:r>
      <w:r w:rsidR="00452A6C">
        <w:rPr>
          <w:lang w:val="en-US"/>
        </w:rPr>
        <w:t xml:space="preserve"> of TDA-GO </w:t>
      </w:r>
      <w:r w:rsidR="006A6550">
        <w:rPr>
          <w:lang w:val="en-US"/>
        </w:rPr>
        <w:t xml:space="preserve">Materials </w:t>
      </w:r>
      <w:r w:rsidR="00F3722E">
        <w:rPr>
          <w:lang w:val="en-US"/>
        </w:rPr>
        <w:t>and</w:t>
      </w:r>
      <w:r w:rsidR="006A6550">
        <w:rPr>
          <w:lang w:val="en-US"/>
        </w:rPr>
        <w:t xml:space="preserve"> Services </w:t>
      </w:r>
      <w:r w:rsidR="003D0790">
        <w:rPr>
          <w:lang w:val="en-US"/>
        </w:rPr>
        <w:t>Report</w:t>
      </w:r>
      <w:r w:rsidR="00452A6C">
        <w:rPr>
          <w:lang w:val="en-US"/>
        </w:rPr>
        <w:t xml:space="preserve"> page for the contractor.</w:t>
      </w:r>
    </w:p>
    <w:p w14:paraId="73872330" w14:textId="770E48BD" w:rsidR="00484DCA" w:rsidRPr="00484DCA" w:rsidRDefault="00484DCA" w:rsidP="007D3FBF">
      <w:pPr>
        <w:pStyle w:val="1BODYArial11"/>
        <w:spacing w:line="240" w:lineRule="auto"/>
        <w:rPr>
          <w:lang w:val="en-US"/>
        </w:rPr>
      </w:pPr>
    </w:p>
    <w:p w14:paraId="0E5AC4E9" w14:textId="77777777" w:rsidR="00830382" w:rsidRDefault="00452A6C" w:rsidP="007D3FBF">
      <w:pPr>
        <w:pStyle w:val="1BODYArial11"/>
        <w:spacing w:line="240" w:lineRule="auto"/>
      </w:pPr>
      <w:r w:rsidRPr="008D33F3">
        <w:rPr>
          <w:bCs/>
          <w:lang w:val="en-US"/>
        </w:rPr>
        <w:t xml:space="preserve">The LSO must certify the </w:t>
      </w:r>
      <w:r w:rsidR="005105BF">
        <w:rPr>
          <w:bCs/>
          <w:lang w:val="en-US"/>
        </w:rPr>
        <w:t>page</w:t>
      </w:r>
      <w:r w:rsidRPr="008D33F3">
        <w:rPr>
          <w:bCs/>
          <w:lang w:val="en-US"/>
        </w:rPr>
        <w:t xml:space="preserve"> for </w:t>
      </w:r>
      <w:r w:rsidR="005105BF">
        <w:rPr>
          <w:bCs/>
          <w:lang w:val="en-US"/>
        </w:rPr>
        <w:t xml:space="preserve">each </w:t>
      </w:r>
      <w:r w:rsidRPr="008D33F3">
        <w:rPr>
          <w:bCs/>
          <w:lang w:val="en-US"/>
        </w:rPr>
        <w:t>construction contract.</w:t>
      </w:r>
      <w:r w:rsidR="008D33F3">
        <w:rPr>
          <w:bCs/>
          <w:lang w:val="en-US"/>
        </w:rPr>
        <w:t xml:space="preserve"> </w:t>
      </w:r>
      <w:r>
        <w:rPr>
          <w:bCs/>
          <w:lang w:val="en-US"/>
        </w:rPr>
        <w:t xml:space="preserve">If the LSO identified labor standards violations, these must be reported on this </w:t>
      </w:r>
      <w:r w:rsidR="005105BF">
        <w:rPr>
          <w:bCs/>
          <w:lang w:val="en-US"/>
        </w:rPr>
        <w:t>page</w:t>
      </w:r>
      <w:r>
        <w:rPr>
          <w:bCs/>
          <w:lang w:val="en-US"/>
        </w:rPr>
        <w:t>.</w:t>
      </w:r>
      <w:r w:rsidR="009A55A2">
        <w:rPr>
          <w:bCs/>
          <w:lang w:val="en-US"/>
        </w:rPr>
        <w:t xml:space="preserve"> </w:t>
      </w:r>
      <w:r w:rsidR="005105BF">
        <w:t>In addition, complete</w:t>
      </w:r>
      <w:r w:rsidR="009A55A2">
        <w:t xml:space="preserve"> the</w:t>
      </w:r>
      <w:r w:rsidR="005105BF">
        <w:t xml:space="preserve"> </w:t>
      </w:r>
      <w:r w:rsidR="005105BF" w:rsidRPr="009C1057">
        <w:rPr>
          <w:i/>
          <w:iCs/>
        </w:rPr>
        <w:t>Work Completed</w:t>
      </w:r>
      <w:r w:rsidR="005105BF">
        <w:t xml:space="preserve"> page of the MSR.</w:t>
      </w:r>
    </w:p>
    <w:p w14:paraId="4B40E946" w14:textId="77777777" w:rsidR="009A55A2" w:rsidRPr="009A55A2" w:rsidRDefault="009A55A2" w:rsidP="007D3FBF">
      <w:pPr>
        <w:pStyle w:val="1BODYArial11"/>
        <w:spacing w:line="240" w:lineRule="auto"/>
        <w:rPr>
          <w:bCs/>
          <w:lang w:val="en-US"/>
        </w:rPr>
      </w:pPr>
    </w:p>
    <w:p w14:paraId="1441F8FA" w14:textId="77777777" w:rsidR="00830382" w:rsidRDefault="005105BF" w:rsidP="007D3FBF">
      <w:pPr>
        <w:pStyle w:val="2BULLETArial11"/>
        <w:numPr>
          <w:ilvl w:val="0"/>
          <w:numId w:val="0"/>
        </w:numPr>
        <w:spacing w:line="240" w:lineRule="auto"/>
        <w:jc w:val="both"/>
      </w:pPr>
      <w:r>
        <w:t>G</w:t>
      </w:r>
      <w:r w:rsidR="00830382">
        <w:t>enerate and print the Certificate of Construction Completion</w:t>
      </w:r>
      <w:r w:rsidR="008D33F3">
        <w:t xml:space="preserve"> (COCC)</w:t>
      </w:r>
      <w:r w:rsidR="00830382">
        <w:t>.</w:t>
      </w:r>
      <w:r w:rsidR="008D33F3">
        <w:t xml:space="preserve"> </w:t>
      </w:r>
      <w:r w:rsidR="00830382">
        <w:t>Obtain the signatures of all parties accepting the work as completed</w:t>
      </w:r>
      <w:r w:rsidR="008D33F3">
        <w:t xml:space="preserve"> </w:t>
      </w:r>
      <w:r w:rsidR="00830382">
        <w:t>and attach the signed document to the page before submitting for TDA approval.</w:t>
      </w:r>
    </w:p>
    <w:p w14:paraId="41F93A6E" w14:textId="77777777" w:rsidR="005105BF" w:rsidRDefault="005105BF" w:rsidP="007D3FBF">
      <w:pPr>
        <w:pStyle w:val="2BULLETArial11"/>
        <w:numPr>
          <w:ilvl w:val="0"/>
          <w:numId w:val="0"/>
        </w:numPr>
        <w:spacing w:line="240" w:lineRule="auto"/>
        <w:jc w:val="both"/>
        <w:rPr>
          <w:noProof/>
        </w:rPr>
      </w:pPr>
    </w:p>
    <w:p w14:paraId="1D912E0B" w14:textId="77777777" w:rsidR="00F12537" w:rsidRPr="00A97431" w:rsidRDefault="00F12537" w:rsidP="007D3FBF">
      <w:pPr>
        <w:pStyle w:val="1BODYArial11"/>
        <w:spacing w:line="240" w:lineRule="auto"/>
      </w:pPr>
      <w:r w:rsidRPr="00A97431">
        <w:t xml:space="preserve">The </w:t>
      </w:r>
      <w:r w:rsidR="006A6550" w:rsidRPr="00A97431">
        <w:rPr>
          <w:lang w:val="en-US"/>
        </w:rPr>
        <w:t xml:space="preserve">Materials </w:t>
      </w:r>
      <w:r w:rsidR="00F3722E">
        <w:rPr>
          <w:lang w:val="en-US"/>
        </w:rPr>
        <w:t>and</w:t>
      </w:r>
      <w:r w:rsidR="006A6550" w:rsidRPr="00A97431">
        <w:rPr>
          <w:lang w:val="en-US"/>
        </w:rPr>
        <w:t xml:space="preserve"> Services </w:t>
      </w:r>
      <w:r w:rsidR="00773837">
        <w:rPr>
          <w:lang w:val="en-US"/>
        </w:rPr>
        <w:t>Report</w:t>
      </w:r>
      <w:r w:rsidR="007E0F98" w:rsidRPr="00A97431">
        <w:rPr>
          <w:lang w:val="en-US"/>
        </w:rPr>
        <w:t xml:space="preserve"> including </w:t>
      </w:r>
      <w:r w:rsidR="007E0F98" w:rsidRPr="009C1057">
        <w:rPr>
          <w:i/>
          <w:iCs/>
          <w:lang w:val="en-US"/>
        </w:rPr>
        <w:t>Final Wage Compliance</w:t>
      </w:r>
      <w:r w:rsidR="007E0F98" w:rsidRPr="00A97431">
        <w:rPr>
          <w:lang w:val="en-US"/>
        </w:rPr>
        <w:t xml:space="preserve"> and </w:t>
      </w:r>
      <w:r w:rsidR="007E0F98" w:rsidRPr="009C1057">
        <w:rPr>
          <w:i/>
          <w:iCs/>
          <w:lang w:val="en-US"/>
        </w:rPr>
        <w:t>Work Completed</w:t>
      </w:r>
      <w:r w:rsidR="006A6550" w:rsidRPr="00A97431">
        <w:rPr>
          <w:lang w:val="en-US"/>
        </w:rPr>
        <w:t xml:space="preserve"> </w:t>
      </w:r>
      <w:r w:rsidR="00452A6C" w:rsidRPr="00A97431">
        <w:rPr>
          <w:lang w:val="en-US"/>
        </w:rPr>
        <w:t>page</w:t>
      </w:r>
      <w:r w:rsidR="007E0F98" w:rsidRPr="00A97431">
        <w:rPr>
          <w:lang w:val="en-US"/>
        </w:rPr>
        <w:t>s</w:t>
      </w:r>
      <w:r w:rsidRPr="00A97431">
        <w:t xml:space="preserve"> must be received and approved prior to </w:t>
      </w:r>
      <w:r w:rsidR="00452A6C" w:rsidRPr="00A97431">
        <w:rPr>
          <w:lang w:val="en-US"/>
        </w:rPr>
        <w:t xml:space="preserve">the final </w:t>
      </w:r>
      <w:r w:rsidRPr="00A97431">
        <w:t xml:space="preserve">reimbursement for each </w:t>
      </w:r>
      <w:r w:rsidR="0014149D" w:rsidRPr="00A97431">
        <w:t xml:space="preserve">prime </w:t>
      </w:r>
      <w:r w:rsidRPr="00A97431">
        <w:t>construction contract</w:t>
      </w:r>
      <w:r w:rsidR="00733ACD" w:rsidRPr="00A97431">
        <w:t xml:space="preserve"> and the final engineering </w:t>
      </w:r>
      <w:r w:rsidR="00452A6C" w:rsidRPr="00A97431">
        <w:rPr>
          <w:lang w:val="en-US"/>
        </w:rPr>
        <w:t>payment request</w:t>
      </w:r>
      <w:r w:rsidRPr="00A97431">
        <w:t xml:space="preserve">. </w:t>
      </w:r>
      <w:r w:rsidR="00A92B22" w:rsidRPr="00A97431">
        <w:t xml:space="preserve">Failure to submit a fully executed COCC may result in the </w:t>
      </w:r>
      <w:proofErr w:type="spellStart"/>
      <w:r w:rsidR="00A92B22" w:rsidRPr="00A97431">
        <w:t>deobligation</w:t>
      </w:r>
      <w:proofErr w:type="spellEnd"/>
      <w:r w:rsidR="00A92B22" w:rsidRPr="00A97431">
        <w:t xml:space="preserve"> of any remaining construction funds, at TDA’s discretion. </w:t>
      </w:r>
    </w:p>
    <w:p w14:paraId="4D3B700E" w14:textId="77777777" w:rsidR="00607C74" w:rsidRPr="00B67E4F" w:rsidRDefault="00607C74" w:rsidP="007D3FBF">
      <w:pPr>
        <w:tabs>
          <w:tab w:val="left" w:pos="540"/>
          <w:tab w:val="left" w:pos="1080"/>
        </w:tabs>
        <w:rPr>
          <w:rFonts w:cs="Arial"/>
          <w:sz w:val="20"/>
          <w:szCs w:val="20"/>
        </w:rPr>
      </w:pPr>
    </w:p>
    <w:p w14:paraId="7C4695BC" w14:textId="77777777" w:rsidR="005A559C" w:rsidRPr="004300D2" w:rsidRDefault="005A559C" w:rsidP="007D3FBF">
      <w:pPr>
        <w:pStyle w:val="Heading2"/>
        <w:rPr>
          <w:i/>
        </w:rPr>
      </w:pPr>
      <w:bookmarkStart w:id="6" w:name="_Toc123112452"/>
      <w:bookmarkStart w:id="7" w:name="_Toc123207972"/>
      <w:r w:rsidRPr="00B67E4F">
        <w:t>7.</w:t>
      </w:r>
      <w:r w:rsidR="0021079C">
        <w:t>2</w:t>
      </w:r>
      <w:r w:rsidRPr="00B67E4F">
        <w:t>.</w:t>
      </w:r>
      <w:r w:rsidR="0021079C">
        <w:t>1</w:t>
      </w:r>
      <w:r w:rsidRPr="00B67E4F">
        <w:t xml:space="preserve"> Restitution for Underpayment of Wages</w:t>
      </w:r>
      <w:bookmarkEnd w:id="6"/>
      <w:bookmarkEnd w:id="7"/>
      <w:r w:rsidRPr="00B67E4F">
        <w:t xml:space="preserve"> </w:t>
      </w:r>
      <w:r w:rsidR="001A5664">
        <w:t xml:space="preserve"> </w:t>
      </w:r>
    </w:p>
    <w:p w14:paraId="3AEB4688" w14:textId="77777777" w:rsidR="00607C74" w:rsidRDefault="00607C74" w:rsidP="007D3FBF">
      <w:pPr>
        <w:pStyle w:val="1BODYArial11"/>
        <w:spacing w:line="240" w:lineRule="auto"/>
      </w:pPr>
    </w:p>
    <w:p w14:paraId="6EFDA559" w14:textId="406DB7C4" w:rsidR="005A559C" w:rsidRPr="00B67E4F" w:rsidRDefault="005A559C" w:rsidP="007D3FBF">
      <w:pPr>
        <w:pStyle w:val="1BODYArial11"/>
        <w:spacing w:line="240" w:lineRule="auto"/>
      </w:pPr>
      <w:r w:rsidRPr="00B67E4F">
        <w:t xml:space="preserve">Where underpayments of wages have occurred, the employer </w:t>
      </w:r>
      <w:r w:rsidR="00EB468E" w:rsidRPr="00B67E4F">
        <w:t xml:space="preserve">must </w:t>
      </w:r>
      <w:r w:rsidRPr="00B67E4F">
        <w:t>pay wage restitution to the affected employee</w:t>
      </w:r>
      <w:r w:rsidR="00491608">
        <w:t>(</w:t>
      </w:r>
      <w:r w:rsidRPr="00B67E4F">
        <w:t>s</w:t>
      </w:r>
      <w:r w:rsidR="00491608">
        <w:t>)</w:t>
      </w:r>
      <w:r w:rsidRPr="00B67E4F">
        <w:t xml:space="preserve">. Wage restitution must be paid promptly in the full amounts due, less </w:t>
      </w:r>
      <w:r w:rsidR="00E03138">
        <w:t xml:space="preserve">any </w:t>
      </w:r>
      <w:r w:rsidRPr="00B67E4F">
        <w:t>permissible and authorized deductions.</w:t>
      </w:r>
      <w:r w:rsidR="005F0079" w:rsidRPr="005F0079">
        <w:rPr>
          <w:i/>
          <w:color w:val="FF0000"/>
        </w:rPr>
        <w:t xml:space="preserve"> </w:t>
      </w:r>
    </w:p>
    <w:p w14:paraId="13BD2E49" w14:textId="77777777" w:rsidR="00A5235D" w:rsidRDefault="00A5235D" w:rsidP="007D3FBF"/>
    <w:p w14:paraId="5BA5702C" w14:textId="77777777" w:rsidR="005A559C" w:rsidRPr="00B67E4F" w:rsidRDefault="005A559C" w:rsidP="007D3FBF">
      <w:pPr>
        <w:pStyle w:val="3BOLDArial11"/>
        <w:spacing w:line="240" w:lineRule="auto"/>
      </w:pPr>
      <w:r w:rsidRPr="00B67E4F">
        <w:t xml:space="preserve">Notification to the </w:t>
      </w:r>
      <w:r w:rsidR="00743E58">
        <w:t>P</w:t>
      </w:r>
      <w:r w:rsidRPr="00B67E4F">
        <w:t xml:space="preserve">rime </w:t>
      </w:r>
      <w:r w:rsidR="00743E58">
        <w:t>C</w:t>
      </w:r>
      <w:r w:rsidRPr="00B67E4F">
        <w:t xml:space="preserve">ontractor </w:t>
      </w:r>
    </w:p>
    <w:p w14:paraId="74CD3706" w14:textId="19ED2949" w:rsidR="00EB468E" w:rsidRPr="00B67E4F" w:rsidRDefault="005A559C" w:rsidP="007D3FBF">
      <w:pPr>
        <w:pStyle w:val="1BODYArial11"/>
        <w:spacing w:line="240" w:lineRule="auto"/>
      </w:pPr>
      <w:r w:rsidRPr="00B67E4F">
        <w:t>The LSO must notify the prime contractor in writing of any underpayments found during payroll or other reviews</w:t>
      </w:r>
      <w:r w:rsidR="007A535E">
        <w:rPr>
          <w:lang w:val="en-US"/>
        </w:rPr>
        <w:t xml:space="preserve">, </w:t>
      </w:r>
      <w:r w:rsidR="00D2447F">
        <w:rPr>
          <w:bCs/>
          <w:lang w:val="en-US"/>
        </w:rPr>
        <w:t xml:space="preserve">see </w:t>
      </w:r>
      <w:r w:rsidR="00D777C3" w:rsidRPr="006A6550">
        <w:rPr>
          <w:bCs/>
          <w:i/>
          <w:iCs/>
          <w:lang w:val="en-US"/>
        </w:rPr>
        <w:t>Notice of Payroll Violation</w:t>
      </w:r>
      <w:r w:rsidR="00256EBC" w:rsidRPr="00C147D4">
        <w:rPr>
          <w:b/>
        </w:rPr>
        <w:t xml:space="preserve"> </w:t>
      </w:r>
      <w:r w:rsidR="001F5726">
        <w:rPr>
          <w:b/>
          <w:lang w:val="en-US"/>
        </w:rPr>
        <w:t>(</w:t>
      </w:r>
      <w:r w:rsidR="00C147D4" w:rsidRPr="00C147D4">
        <w:rPr>
          <w:b/>
        </w:rPr>
        <w:t>Form A712</w:t>
      </w:r>
      <w:r w:rsidR="001F5726">
        <w:rPr>
          <w:b/>
          <w:lang w:val="en-US"/>
        </w:rPr>
        <w:t>)</w:t>
      </w:r>
      <w:r w:rsidR="00C147D4">
        <w:t>.</w:t>
      </w:r>
      <w:r w:rsidRPr="00B67E4F">
        <w:t xml:space="preserve"> </w:t>
      </w:r>
    </w:p>
    <w:p w14:paraId="7FC4E8B9" w14:textId="77777777" w:rsidR="00EB468E" w:rsidRPr="00607C74" w:rsidRDefault="005A559C" w:rsidP="007D3FBF">
      <w:pPr>
        <w:pStyle w:val="2BULLETArial11"/>
        <w:spacing w:line="240" w:lineRule="auto"/>
      </w:pPr>
      <w:r w:rsidRPr="00607C74">
        <w:t xml:space="preserve">The notice must describe the underpayments and provide instructions for computing and documenting the restitution to be paid. </w:t>
      </w:r>
    </w:p>
    <w:p w14:paraId="4020F1AD" w14:textId="77777777" w:rsidR="00EB468E" w:rsidRPr="00607C74" w:rsidRDefault="005A559C" w:rsidP="007D3FBF">
      <w:pPr>
        <w:pStyle w:val="2BULLETArial11"/>
        <w:spacing w:line="240" w:lineRule="auto"/>
      </w:pPr>
      <w:r w:rsidRPr="00607C74">
        <w:t xml:space="preserve">The prime contractor is allowed 30 days to correct the underpayments. </w:t>
      </w:r>
    </w:p>
    <w:p w14:paraId="4AE4460D" w14:textId="77777777" w:rsidR="005A559C" w:rsidRDefault="00EB468E" w:rsidP="007D3FBF">
      <w:pPr>
        <w:pStyle w:val="2BULLETArial11"/>
        <w:spacing w:line="240" w:lineRule="auto"/>
      </w:pPr>
      <w:r w:rsidRPr="00607C74">
        <w:t>T</w:t>
      </w:r>
      <w:r w:rsidR="005A559C" w:rsidRPr="00607C74">
        <w:t>he prime contractor is responsible to the LSO for ensuring that restitution is paid. If the employer is a subcontractor, the subcontractor will usually make the computations and restitution payments and furnish the required documentation through the prime contractor.</w:t>
      </w:r>
    </w:p>
    <w:p w14:paraId="32603026" w14:textId="77777777" w:rsidR="005A559C" w:rsidRPr="00B67E4F" w:rsidRDefault="005A559C" w:rsidP="007D3FBF">
      <w:pPr>
        <w:rPr>
          <w:rFonts w:cs="Arial"/>
          <w:sz w:val="20"/>
          <w:szCs w:val="20"/>
        </w:rPr>
      </w:pPr>
    </w:p>
    <w:p w14:paraId="2F23E9F6" w14:textId="77777777" w:rsidR="005A559C" w:rsidRPr="00B67E4F" w:rsidRDefault="005A559C" w:rsidP="007D3FBF">
      <w:pPr>
        <w:pStyle w:val="3BOLDArial11"/>
        <w:spacing w:line="240" w:lineRule="auto"/>
      </w:pPr>
      <w:r w:rsidRPr="00B67E4F">
        <w:t xml:space="preserve">Computing </w:t>
      </w:r>
      <w:r w:rsidR="00743E58">
        <w:t>W</w:t>
      </w:r>
      <w:r w:rsidRPr="00B67E4F">
        <w:t xml:space="preserve">age </w:t>
      </w:r>
      <w:r w:rsidR="00743E58">
        <w:t>R</w:t>
      </w:r>
      <w:r w:rsidRPr="00B67E4F">
        <w:t>estitution</w:t>
      </w:r>
    </w:p>
    <w:p w14:paraId="0FD35923" w14:textId="55DF4A9B" w:rsidR="005A559C" w:rsidRDefault="005A559C" w:rsidP="007D3FBF">
      <w:pPr>
        <w:pStyle w:val="1BODYArial11"/>
        <w:spacing w:line="240" w:lineRule="auto"/>
      </w:pPr>
      <w:r w:rsidRPr="00B67E4F">
        <w:t xml:space="preserve">Wage restitution is simply the difference between the wage rate paid to each affected employee and the wage rate required on the wage decision for all hours worked where underpayments occurred. The difference in the wage rates is called the </w:t>
      </w:r>
      <w:r w:rsidRPr="00B67E4F">
        <w:rPr>
          <w:i/>
        </w:rPr>
        <w:t>adjustment rate.</w:t>
      </w:r>
      <w:r w:rsidR="00743E58">
        <w:rPr>
          <w:lang w:val="en-US"/>
        </w:rPr>
        <w:t xml:space="preserve"> </w:t>
      </w:r>
      <w:r w:rsidRPr="00B67E4F">
        <w:t>The adjustment rate times the number of hours involved equals the gross amount of restitution due.</w:t>
      </w:r>
    </w:p>
    <w:p w14:paraId="723DFFF6" w14:textId="77777777" w:rsidR="00311654" w:rsidRDefault="00311654" w:rsidP="007D3FBF">
      <w:pPr>
        <w:pStyle w:val="1BODYArial11"/>
        <w:spacing w:line="240" w:lineRule="auto"/>
      </w:pPr>
    </w:p>
    <w:p w14:paraId="3A0F543B" w14:textId="77777777" w:rsidR="00607C74" w:rsidRDefault="005A559C" w:rsidP="007D3FBF">
      <w:pPr>
        <w:pStyle w:val="3BOLDArial11"/>
        <w:spacing w:line="240" w:lineRule="auto"/>
      </w:pPr>
      <w:r w:rsidRPr="00607C74">
        <w:t xml:space="preserve">Overtime and </w:t>
      </w:r>
      <w:r w:rsidR="00743E58">
        <w:t>U</w:t>
      </w:r>
      <w:r w:rsidRPr="00607C74">
        <w:t>nderpayment</w:t>
      </w:r>
    </w:p>
    <w:p w14:paraId="791F1DF7" w14:textId="77777777" w:rsidR="005A559C" w:rsidRPr="00AD13A6" w:rsidRDefault="005A559C" w:rsidP="007D3FBF">
      <w:pPr>
        <w:pStyle w:val="1BODYArial11"/>
        <w:spacing w:line="240" w:lineRule="auto"/>
        <w:rPr>
          <w:b/>
        </w:rPr>
      </w:pPr>
      <w:r w:rsidRPr="00607C74">
        <w:t>Overtime hours are defined as all hours worked on the work</w:t>
      </w:r>
      <w:r w:rsidR="00A850EE" w:rsidRPr="00607C74">
        <w:t xml:space="preserve"> site</w:t>
      </w:r>
      <w:r w:rsidRPr="00607C74">
        <w:t xml:space="preserve"> in excess of 40 hours in any work week. Overtime hours must be paid at no less than one and one-half times the regular rate of basic pay plus the straight-time rate of any required fringe benefits.</w:t>
      </w:r>
      <w:r w:rsidR="00607C74">
        <w:rPr>
          <w:lang w:val="en-US"/>
        </w:rPr>
        <w:t xml:space="preserve"> </w:t>
      </w:r>
      <w:r w:rsidRPr="00607C74">
        <w:t>If the employees did not receive at least time and one-half for any overtime hours worked on the project, the following will occur:</w:t>
      </w:r>
      <w:r w:rsidRPr="00AD13A6">
        <w:t xml:space="preserve"> </w:t>
      </w:r>
    </w:p>
    <w:p w14:paraId="39CD9853" w14:textId="77777777" w:rsidR="005A559C" w:rsidRPr="00AD13A6" w:rsidRDefault="005A559C" w:rsidP="007D3FBF">
      <w:pPr>
        <w:pStyle w:val="2BULLETArial11"/>
        <w:spacing w:line="240" w:lineRule="auto"/>
      </w:pPr>
      <w:r w:rsidRPr="00AD13A6">
        <w:t>If the project</w:t>
      </w:r>
      <w:r w:rsidR="00563AA5" w:rsidRPr="00AD13A6">
        <w:t xml:space="preserve"> </w:t>
      </w:r>
      <w:r w:rsidR="008B06DE" w:rsidRPr="00AD13A6">
        <w:t xml:space="preserve">is </w:t>
      </w:r>
      <w:r w:rsidR="0042689E" w:rsidRPr="00AD13A6">
        <w:t>greater than</w:t>
      </w:r>
      <w:r w:rsidR="00563AA5" w:rsidRPr="00AD13A6">
        <w:t xml:space="preserve"> $100</w:t>
      </w:r>
      <w:r w:rsidR="00BB4DB5" w:rsidRPr="00AD13A6">
        <w:t>,000</w:t>
      </w:r>
      <w:r w:rsidR="00563AA5" w:rsidRPr="00AD13A6">
        <w:t xml:space="preserve"> and</w:t>
      </w:r>
      <w:r w:rsidRPr="00AD13A6">
        <w:t xml:space="preserve"> is</w:t>
      </w:r>
      <w:r w:rsidR="00563AA5" w:rsidRPr="00AD13A6">
        <w:t xml:space="preserve"> therefore</w:t>
      </w:r>
      <w:r w:rsidRPr="00AD13A6">
        <w:t xml:space="preserve"> subject to </w:t>
      </w:r>
      <w:r w:rsidR="00340CE0" w:rsidRPr="00AD13A6">
        <w:t>Contract Work Hours and Safety Standards Act (</w:t>
      </w:r>
      <w:r w:rsidRPr="006D3E7C">
        <w:rPr>
          <w:iCs/>
        </w:rPr>
        <w:t>CWHSSA</w:t>
      </w:r>
      <w:r w:rsidR="00340CE0" w:rsidRPr="00AD13A6">
        <w:rPr>
          <w:i/>
        </w:rPr>
        <w:t>)</w:t>
      </w:r>
      <w:r w:rsidRPr="00AD13A6">
        <w:rPr>
          <w:i/>
        </w:rPr>
        <w:t xml:space="preserve"> overtime</w:t>
      </w:r>
      <w:r w:rsidRPr="00AD13A6">
        <w:t xml:space="preserve"> requirements, the employer will be asked to pay wage restitution for all overtime hours worked on the project. </w:t>
      </w:r>
    </w:p>
    <w:p w14:paraId="1F596AEA" w14:textId="7EDBB82A" w:rsidR="00A6697D" w:rsidRDefault="00A6697D" w:rsidP="007D3FBF">
      <w:pPr>
        <w:pStyle w:val="2BULLETArial11"/>
        <w:spacing w:line="240" w:lineRule="auto"/>
      </w:pPr>
      <w:r>
        <w:t>The employer will also be liable to the Department of Labor (DOL) for liquidated damages (overtime violation dollar penalty) computed at the current monetary penalty established by DOL for each calendar day on which an overtime violation occurred. DOL publishes adjustments to penalties not later than January 15 of every year in accordance with the Federal Civil Penalties Inflation Adjustment Act Improvements Act of 2015.</w:t>
      </w:r>
      <w:r w:rsidR="00156936">
        <w:t xml:space="preserve"> </w:t>
      </w:r>
      <w:r>
        <w:t xml:space="preserve">A table of DOL’s current monetary penalties may be found </w:t>
      </w:r>
      <w:r w:rsidR="00B8431F">
        <w:t xml:space="preserve">in the </w:t>
      </w:r>
      <w:r w:rsidR="005F63A2">
        <w:t xml:space="preserve">in Resources </w:t>
      </w:r>
      <w:r w:rsidR="00B8431F">
        <w:t xml:space="preserve">section </w:t>
      </w:r>
      <w:r w:rsidR="005F63A2">
        <w:t>at the end of this Chapter</w:t>
      </w:r>
      <w:r w:rsidRPr="00156936">
        <w:rPr>
          <w:b/>
          <w:bCs/>
        </w:rPr>
        <w:t>.</w:t>
      </w:r>
      <w:r>
        <w:t xml:space="preserve"> Contact the Labor Specialist at TDA for further information.</w:t>
      </w:r>
    </w:p>
    <w:p w14:paraId="446766C7" w14:textId="4E352136" w:rsidR="001B3339" w:rsidRPr="00AD13A6" w:rsidRDefault="005A559C" w:rsidP="007D3FBF">
      <w:pPr>
        <w:pStyle w:val="2BULLETArial11"/>
        <w:spacing w:line="240" w:lineRule="auto"/>
      </w:pPr>
      <w:r w:rsidRPr="00AD13A6">
        <w:t>Once liqui</w:t>
      </w:r>
      <w:r w:rsidR="00B14ED4" w:rsidRPr="00AD13A6">
        <w:t xml:space="preserve">dated damages are computed, </w:t>
      </w:r>
      <w:r w:rsidR="00B14ED4" w:rsidRPr="009C1057">
        <w:rPr>
          <w:bCs/>
        </w:rPr>
        <w:t xml:space="preserve">the Grant Recipient </w:t>
      </w:r>
      <w:r w:rsidR="00FA6BF9" w:rsidRPr="009C1057">
        <w:rPr>
          <w:bCs/>
        </w:rPr>
        <w:t xml:space="preserve">must </w:t>
      </w:r>
      <w:r w:rsidR="00B14ED4" w:rsidRPr="009C1057">
        <w:rPr>
          <w:bCs/>
        </w:rPr>
        <w:t xml:space="preserve">notify the prime contractor </w:t>
      </w:r>
      <w:r w:rsidRPr="009C1057">
        <w:rPr>
          <w:bCs/>
        </w:rPr>
        <w:t>in</w:t>
      </w:r>
      <w:r w:rsidRPr="005F63A2">
        <w:rPr>
          <w:bCs/>
        </w:rPr>
        <w:t xml:space="preserve"> writing of the fine and wage restitution</w:t>
      </w:r>
      <w:r w:rsidRPr="00AD13A6">
        <w:t xml:space="preserve"> owed</w:t>
      </w:r>
      <w:r w:rsidR="001B5528" w:rsidRPr="00AD13A6">
        <w:t>.</w:t>
      </w:r>
      <w:r w:rsidRPr="00AD13A6">
        <w:t xml:space="preserve"> </w:t>
      </w:r>
      <w:r w:rsidR="00156936" w:rsidRPr="00156936">
        <w:t>See the</w:t>
      </w:r>
      <w:r w:rsidR="00B14ED4" w:rsidRPr="00156936">
        <w:t xml:space="preserve"> sample letter </w:t>
      </w:r>
      <w:r w:rsidR="00156936" w:rsidRPr="00156936">
        <w:t xml:space="preserve">called </w:t>
      </w:r>
      <w:r w:rsidR="00B14ED4" w:rsidRPr="00156936">
        <w:rPr>
          <w:i/>
          <w:shd w:val="clear" w:color="auto" w:fill="FFFFFF"/>
        </w:rPr>
        <w:t>Notice of Determination to Assess Liquidated Damages</w:t>
      </w:r>
      <w:r w:rsidR="00B14ED4" w:rsidRPr="00AD13A6">
        <w:rPr>
          <w:b/>
          <w:bCs/>
        </w:rPr>
        <w:t xml:space="preserve"> (Form A713). </w:t>
      </w:r>
      <w:r w:rsidR="001B5528" w:rsidRPr="00AD13A6">
        <w:t>A</w:t>
      </w:r>
      <w:r w:rsidRPr="00AD13A6">
        <w:t xml:space="preserve"> check (payable to </w:t>
      </w:r>
      <w:r w:rsidR="006E60BE" w:rsidRPr="00AD13A6">
        <w:t>TDA</w:t>
      </w:r>
      <w:r w:rsidRPr="00AD13A6">
        <w:t xml:space="preserve">) </w:t>
      </w:r>
      <w:proofErr w:type="gramStart"/>
      <w:r w:rsidRPr="00AD13A6">
        <w:t>in</w:t>
      </w:r>
      <w:proofErr w:type="gramEnd"/>
      <w:r w:rsidRPr="00AD13A6">
        <w:t xml:space="preserve"> the amount of the liquidated damages should be forwarded to </w:t>
      </w:r>
      <w:r w:rsidR="0085332A" w:rsidRPr="00AD13A6">
        <w:t>TDA</w:t>
      </w:r>
      <w:r w:rsidRPr="00AD13A6">
        <w:t xml:space="preserve"> to be processed for HUD.</w:t>
      </w:r>
    </w:p>
    <w:p w14:paraId="4DDEBCFB" w14:textId="77777777" w:rsidR="005523A8" w:rsidRPr="005523A8" w:rsidRDefault="005A3B0D" w:rsidP="007D3FBF">
      <w:pPr>
        <w:pStyle w:val="2BULLETArial11"/>
        <w:spacing w:line="240" w:lineRule="auto"/>
      </w:pPr>
      <w:r w:rsidRPr="00AD13A6">
        <w:t xml:space="preserve">The employer may request a reduction or waiver of liquidated damages under one or both of </w:t>
      </w:r>
      <w:r w:rsidRPr="005523A8">
        <w:t xml:space="preserve">the following reasons: </w:t>
      </w:r>
    </w:p>
    <w:p w14:paraId="7504B71B" w14:textId="77777777" w:rsidR="005523A8" w:rsidRPr="005523A8" w:rsidRDefault="005A3B0D" w:rsidP="007D3FBF">
      <w:pPr>
        <w:pStyle w:val="2BULLETArial11"/>
        <w:numPr>
          <w:ilvl w:val="1"/>
          <w:numId w:val="2"/>
        </w:numPr>
        <w:spacing w:line="240" w:lineRule="auto"/>
      </w:pPr>
      <w:r w:rsidRPr="005523A8">
        <w:t xml:space="preserve">The computation of liquidated damages is incorrect; and/or </w:t>
      </w:r>
    </w:p>
    <w:p w14:paraId="50F1836A" w14:textId="4F87F9AC" w:rsidR="005A3B0D" w:rsidRPr="009C1057" w:rsidRDefault="00156936" w:rsidP="007D3FBF">
      <w:pPr>
        <w:pStyle w:val="2BULLETArial11"/>
        <w:numPr>
          <w:ilvl w:val="1"/>
          <w:numId w:val="2"/>
        </w:numPr>
        <w:spacing w:line="240" w:lineRule="auto"/>
        <w:rPr>
          <w:b/>
        </w:rPr>
      </w:pPr>
      <w:r w:rsidRPr="005523A8">
        <w:t>T</w:t>
      </w:r>
      <w:r w:rsidR="005A3B0D" w:rsidRPr="005523A8">
        <w:t>he violation(s) occurred inadvertently notwithstanding the exercise of due care on the part of the</w:t>
      </w:r>
      <w:r w:rsidR="005A3B0D" w:rsidRPr="00AD13A6">
        <w:t xml:space="preserve"> employer. The employer’s request must be made in writing within 60 days after the date of the notice and must explain the reason(s) why a reduction or waiver is warranted.</w:t>
      </w:r>
      <w:r w:rsidR="005523A8">
        <w:t xml:space="preserve"> </w:t>
      </w:r>
      <w:r w:rsidR="005A3B0D" w:rsidRPr="00AD13A6">
        <w:t xml:space="preserve">See </w:t>
      </w:r>
      <w:r w:rsidR="00053D64" w:rsidRPr="00053D64">
        <w:rPr>
          <w:i/>
          <w:iCs/>
        </w:rPr>
        <w:t>Waiver Request</w:t>
      </w:r>
      <w:r w:rsidR="006A6550" w:rsidRPr="00AD13A6">
        <w:t xml:space="preserve"> </w:t>
      </w:r>
      <w:r w:rsidR="006A6550">
        <w:t>(</w:t>
      </w:r>
      <w:r w:rsidR="005A3B0D" w:rsidRPr="00156936">
        <w:rPr>
          <w:b/>
          <w:bCs/>
        </w:rPr>
        <w:t>Form A714</w:t>
      </w:r>
      <w:r w:rsidR="006A6550">
        <w:rPr>
          <w:b/>
          <w:bCs/>
        </w:rPr>
        <w:t>)</w:t>
      </w:r>
      <w:r w:rsidR="005A3B0D" w:rsidRPr="00AD13A6">
        <w:t xml:space="preserve"> for a sample of a waiver request</w:t>
      </w:r>
      <w:r w:rsidR="005F63A2">
        <w:t>, s</w:t>
      </w:r>
      <w:r>
        <w:t xml:space="preserve">ee </w:t>
      </w:r>
      <w:r w:rsidR="005A3B0D" w:rsidRPr="00AD13A6">
        <w:t>HUD Handbook 1344.1 (5-12</w:t>
      </w:r>
      <w:r w:rsidR="001F7AD8">
        <w:t xml:space="preserve"> </w:t>
      </w:r>
      <w:r w:rsidR="005A3B0D" w:rsidRPr="00AD13A6">
        <w:t>B)</w:t>
      </w:r>
      <w:r w:rsidR="00C91688" w:rsidRPr="00AD13A6">
        <w:t>.</w:t>
      </w:r>
    </w:p>
    <w:p w14:paraId="32F1F20D" w14:textId="77777777" w:rsidR="003F143C" w:rsidRPr="00AD13A6" w:rsidRDefault="003F143C" w:rsidP="007D3FBF">
      <w:pPr>
        <w:pStyle w:val="2BULLETArial11"/>
        <w:numPr>
          <w:ilvl w:val="0"/>
          <w:numId w:val="0"/>
        </w:numPr>
        <w:spacing w:line="240" w:lineRule="auto"/>
        <w:ind w:left="1440"/>
        <w:rPr>
          <w:b/>
        </w:rPr>
      </w:pPr>
    </w:p>
    <w:p w14:paraId="5C4B560B" w14:textId="77777777" w:rsidR="005A3B0D" w:rsidRPr="009C1057" w:rsidRDefault="005A3B0D" w:rsidP="007D3FBF">
      <w:pPr>
        <w:pStyle w:val="2BULLETArial11"/>
        <w:numPr>
          <w:ilvl w:val="0"/>
          <w:numId w:val="0"/>
        </w:numPr>
        <w:spacing w:line="240" w:lineRule="auto"/>
        <w:rPr>
          <w:bCs/>
        </w:rPr>
      </w:pPr>
      <w:r w:rsidRPr="009C1057">
        <w:rPr>
          <w:bCs/>
        </w:rPr>
        <w:t xml:space="preserve">If </w:t>
      </w:r>
      <w:r w:rsidR="006A6550" w:rsidRPr="009C1057">
        <w:rPr>
          <w:bCs/>
        </w:rPr>
        <w:t>l</w:t>
      </w:r>
      <w:r w:rsidRPr="009C1057">
        <w:rPr>
          <w:bCs/>
        </w:rPr>
        <w:t xml:space="preserve">iquidated </w:t>
      </w:r>
      <w:r w:rsidR="006A6550" w:rsidRPr="009C1057">
        <w:rPr>
          <w:bCs/>
        </w:rPr>
        <w:t>d</w:t>
      </w:r>
      <w:r w:rsidRPr="009C1057">
        <w:rPr>
          <w:bCs/>
        </w:rPr>
        <w:t>amages are equal to or less than $100.00, the employer is encouraged to seek a reduction or waiver of liquidated damages.</w:t>
      </w:r>
    </w:p>
    <w:p w14:paraId="5130CA59" w14:textId="77777777" w:rsidR="00156936" w:rsidRDefault="00156936" w:rsidP="007D3FBF">
      <w:pPr>
        <w:pStyle w:val="2BULLETArial11"/>
        <w:numPr>
          <w:ilvl w:val="0"/>
          <w:numId w:val="0"/>
        </w:numPr>
        <w:spacing w:line="240" w:lineRule="auto"/>
        <w:ind w:left="720" w:hanging="360"/>
        <w:rPr>
          <w:b/>
          <w:u w:val="single"/>
        </w:rPr>
      </w:pPr>
    </w:p>
    <w:p w14:paraId="57CF96D1" w14:textId="77777777" w:rsidR="00156936" w:rsidRPr="006374D2" w:rsidRDefault="00156936" w:rsidP="007D3FBF">
      <w:pPr>
        <w:pStyle w:val="1BODYArial11"/>
        <w:spacing w:line="240" w:lineRule="auto"/>
      </w:pPr>
      <w:r w:rsidRPr="00EF5B21">
        <w:t xml:space="preserve">Employers are not required to submit </w:t>
      </w:r>
      <w:r w:rsidR="00CB0223">
        <w:rPr>
          <w:lang w:val="en-US"/>
        </w:rPr>
        <w:t xml:space="preserve">copies or </w:t>
      </w:r>
      <w:r w:rsidRPr="00EF5B21">
        <w:t>checks (certified or otherwise) to TD</w:t>
      </w:r>
      <w:r>
        <w:t>A</w:t>
      </w:r>
      <w:r w:rsidRPr="00EF5B21">
        <w:t xml:space="preserve"> </w:t>
      </w:r>
      <w:r w:rsidR="00CB0223">
        <w:rPr>
          <w:lang w:val="en-US"/>
        </w:rPr>
        <w:t>as proof of corrected</w:t>
      </w:r>
      <w:r w:rsidRPr="00EF5B21">
        <w:t xml:space="preserve"> underpayments. The employer reports and certifies restitution payments on a correction </w:t>
      </w:r>
      <w:r w:rsidRPr="007168C2">
        <w:t xml:space="preserve">payroll, </w:t>
      </w:r>
      <w:r w:rsidRPr="00881070">
        <w:t>which is kept in local files.</w:t>
      </w:r>
    </w:p>
    <w:p w14:paraId="51D9ABA3" w14:textId="77777777" w:rsidR="00C70603" w:rsidRDefault="00C70603" w:rsidP="007D3FBF"/>
    <w:p w14:paraId="269A72A5" w14:textId="77777777" w:rsidR="005A559C" w:rsidRPr="00B67E4F" w:rsidRDefault="00467048" w:rsidP="007D3FBF">
      <w:pPr>
        <w:pStyle w:val="3BOLDArial11"/>
        <w:spacing w:line="240" w:lineRule="auto"/>
      </w:pPr>
      <w:r>
        <w:t>Corrected</w:t>
      </w:r>
      <w:r w:rsidR="005A559C" w:rsidRPr="00B67E4F">
        <w:t xml:space="preserve"> </w:t>
      </w:r>
      <w:r w:rsidR="00743E58">
        <w:t>P</w:t>
      </w:r>
      <w:r w:rsidR="005A559C" w:rsidRPr="00B67E4F">
        <w:t xml:space="preserve">ayrolls </w:t>
      </w:r>
    </w:p>
    <w:p w14:paraId="5346D5C4" w14:textId="77777777" w:rsidR="005F63A2" w:rsidRDefault="005A559C" w:rsidP="007D3FBF">
      <w:pPr>
        <w:pStyle w:val="1BODYArial11"/>
        <w:spacing w:line="240" w:lineRule="auto"/>
        <w:rPr>
          <w:lang w:val="en-US"/>
        </w:rPr>
      </w:pPr>
      <w:r w:rsidRPr="00B67E4F">
        <w:t xml:space="preserve">The employer will be required to report the restitution paid on a </w:t>
      </w:r>
      <w:r w:rsidR="00467048">
        <w:rPr>
          <w:lang w:val="en-US"/>
        </w:rPr>
        <w:t>corrected</w:t>
      </w:r>
      <w:r w:rsidRPr="00B67E4F">
        <w:t xml:space="preserve"> certified payroll. The correct</w:t>
      </w:r>
      <w:r w:rsidR="00467048">
        <w:rPr>
          <w:lang w:val="en-US"/>
        </w:rPr>
        <w:t>ed</w:t>
      </w:r>
      <w:r w:rsidRPr="00B67E4F">
        <w:t xml:space="preserve"> payroll will reflect the period of time for which restitution is due</w:t>
      </w:r>
      <w:r w:rsidR="00467048">
        <w:rPr>
          <w:lang w:val="en-US"/>
        </w:rPr>
        <w:t xml:space="preserve">. </w:t>
      </w:r>
    </w:p>
    <w:p w14:paraId="0E2CE309" w14:textId="2E430506" w:rsidR="005A559C" w:rsidRDefault="00467048" w:rsidP="007D3FBF">
      <w:pPr>
        <w:pStyle w:val="1BODYArial11"/>
        <w:spacing w:line="240" w:lineRule="auto"/>
      </w:pPr>
      <w:r w:rsidRPr="00467048">
        <w:rPr>
          <w:b/>
          <w:bCs/>
          <w:lang w:val="en-US"/>
        </w:rPr>
        <w:t>EXAMPLE</w:t>
      </w:r>
      <w:r>
        <w:rPr>
          <w:lang w:val="en-US"/>
        </w:rPr>
        <w:t xml:space="preserve">: </w:t>
      </w:r>
      <w:r w:rsidR="005A559C" w:rsidRPr="00B67E4F">
        <w:t>Payrolls #1 through #6; or a beginning date and ending date</w:t>
      </w:r>
      <w:r>
        <w:rPr>
          <w:lang w:val="en-US"/>
        </w:rPr>
        <w:t>.</w:t>
      </w:r>
      <w:r w:rsidR="005A559C" w:rsidRPr="00B67E4F">
        <w:t xml:space="preserve"> The </w:t>
      </w:r>
      <w:r>
        <w:rPr>
          <w:lang w:val="en-US"/>
        </w:rPr>
        <w:t>corrected</w:t>
      </w:r>
      <w:r w:rsidR="005A559C" w:rsidRPr="00B67E4F">
        <w:t xml:space="preserve"> payroll will list each employee to whom restitution is due and their work classification; the total number of work hours involved (daily hours are usually not applicable for restitution); the adjustment wage rate (the difference between the required wage rate and the wage rate paid); the gross amount of restitution due; deductions and the net amount to be paid. A </w:t>
      </w:r>
      <w:r w:rsidR="00563AA5">
        <w:t xml:space="preserve">verified </w:t>
      </w:r>
      <w:r w:rsidR="005A559C" w:rsidRPr="00B67E4F">
        <w:t xml:space="preserve">signed </w:t>
      </w:r>
      <w:r w:rsidR="005F63A2" w:rsidRPr="009C1057">
        <w:rPr>
          <w:i/>
          <w:iCs/>
          <w:lang w:val="en-US"/>
        </w:rPr>
        <w:t xml:space="preserve">Sample DOL </w:t>
      </w:r>
      <w:r w:rsidR="00563AA5" w:rsidRPr="005F63A2">
        <w:rPr>
          <w:i/>
          <w:iCs/>
        </w:rPr>
        <w:t>Payroll</w:t>
      </w:r>
      <w:r w:rsidR="005A559C" w:rsidRPr="009C1057">
        <w:rPr>
          <w:i/>
          <w:iCs/>
        </w:rPr>
        <w:t xml:space="preserve"> </w:t>
      </w:r>
      <w:r w:rsidR="005F63A2" w:rsidRPr="009C1057">
        <w:rPr>
          <w:i/>
          <w:iCs/>
          <w:lang w:val="en-US"/>
        </w:rPr>
        <w:t>Form</w:t>
      </w:r>
      <w:r w:rsidR="005F63A2">
        <w:rPr>
          <w:lang w:val="en-US"/>
        </w:rPr>
        <w:t xml:space="preserve"> </w:t>
      </w:r>
      <w:r w:rsidR="005A559C" w:rsidRPr="00B67E4F">
        <w:rPr>
          <w:b/>
        </w:rPr>
        <w:t xml:space="preserve">(Form A708) </w:t>
      </w:r>
      <w:r w:rsidR="005A559C" w:rsidRPr="00B67E4F">
        <w:t xml:space="preserve">must be </w:t>
      </w:r>
      <w:r w:rsidR="00563AA5">
        <w:t xml:space="preserve">sent to the LSO. </w:t>
      </w:r>
    </w:p>
    <w:p w14:paraId="6B0E817F" w14:textId="77777777" w:rsidR="00CB29F0" w:rsidRDefault="00CB29F0" w:rsidP="007D3FBF">
      <w:pPr>
        <w:jc w:val="both"/>
        <w:rPr>
          <w:rFonts w:cs="Arial"/>
          <w:b/>
          <w:szCs w:val="22"/>
        </w:rPr>
      </w:pPr>
    </w:p>
    <w:p w14:paraId="268ACBF1" w14:textId="77777777" w:rsidR="005A559C" w:rsidRPr="00156936" w:rsidRDefault="005A559C" w:rsidP="007D3FBF">
      <w:pPr>
        <w:pStyle w:val="3BOLDArial11"/>
        <w:spacing w:line="240" w:lineRule="auto"/>
      </w:pPr>
      <w:r w:rsidRPr="00156936">
        <w:t xml:space="preserve">Review of </w:t>
      </w:r>
      <w:r w:rsidR="00743E58">
        <w:t>C</w:t>
      </w:r>
      <w:r w:rsidRPr="00156936">
        <w:t>orrect</w:t>
      </w:r>
      <w:r w:rsidR="008E3DF0" w:rsidRPr="00156936">
        <w:t>ed</w:t>
      </w:r>
      <w:r w:rsidRPr="00156936">
        <w:t xml:space="preserve"> </w:t>
      </w:r>
      <w:r w:rsidR="00743E58">
        <w:t>P</w:t>
      </w:r>
      <w:r w:rsidRPr="00156936">
        <w:t xml:space="preserve">ayroll </w:t>
      </w:r>
    </w:p>
    <w:p w14:paraId="35BE981F" w14:textId="77777777" w:rsidR="005A559C" w:rsidRPr="00B67E4F" w:rsidRDefault="005A559C" w:rsidP="007D3FBF">
      <w:pPr>
        <w:pStyle w:val="1BODYArial11"/>
        <w:spacing w:line="240" w:lineRule="auto"/>
      </w:pPr>
      <w:r w:rsidRPr="00B67E4F">
        <w:t xml:space="preserve">The </w:t>
      </w:r>
      <w:r w:rsidR="00F96E6B">
        <w:rPr>
          <w:lang w:val="en-US"/>
        </w:rPr>
        <w:t xml:space="preserve">LSO </w:t>
      </w:r>
      <w:r w:rsidRPr="00B67E4F">
        <w:t>will review the correct</w:t>
      </w:r>
      <w:r w:rsidR="008E3DF0">
        <w:t>ed</w:t>
      </w:r>
      <w:r w:rsidRPr="00B67E4F">
        <w:t xml:space="preserve"> payroll to ensure that full restitution was paid. The prime contractor </w:t>
      </w:r>
      <w:r w:rsidR="00FA6BF9" w:rsidRPr="00106B10">
        <w:t>must</w:t>
      </w:r>
      <w:r w:rsidRPr="00B67E4F">
        <w:t xml:space="preserve"> be notified in writing of any discrepancies and will be required to make additional payments, if needed, </w:t>
      </w:r>
      <w:r w:rsidR="00C773D3">
        <w:t xml:space="preserve">and </w:t>
      </w:r>
      <w:r w:rsidRPr="00B67E4F">
        <w:t>documented on a supplemental correction payroll</w:t>
      </w:r>
      <w:r w:rsidR="00325E60">
        <w:t>,</w:t>
      </w:r>
      <w:r w:rsidRPr="00B67E4F">
        <w:t xml:space="preserve"> within 30 days.</w:t>
      </w:r>
    </w:p>
    <w:p w14:paraId="6BDEA03F" w14:textId="77777777" w:rsidR="005A559C" w:rsidRPr="00B67E4F" w:rsidRDefault="005A559C" w:rsidP="007D3FBF">
      <w:pPr>
        <w:jc w:val="both"/>
        <w:rPr>
          <w:rFonts w:cs="Arial"/>
          <w:szCs w:val="22"/>
        </w:rPr>
      </w:pPr>
    </w:p>
    <w:p w14:paraId="56B6798F" w14:textId="77777777" w:rsidR="005A559C" w:rsidRPr="00156936" w:rsidRDefault="00F701B7" w:rsidP="007D3FBF">
      <w:pPr>
        <w:pStyle w:val="3BOLDArial11"/>
        <w:spacing w:line="240" w:lineRule="auto"/>
      </w:pPr>
      <w:r w:rsidRPr="00156936">
        <w:t xml:space="preserve">Inability to </w:t>
      </w:r>
      <w:r w:rsidR="00743E58">
        <w:t>L</w:t>
      </w:r>
      <w:r w:rsidRPr="00156936">
        <w:t xml:space="preserve">ocate </w:t>
      </w:r>
      <w:r w:rsidR="00743E58">
        <w:t>W</w:t>
      </w:r>
      <w:r w:rsidR="005A559C" w:rsidRPr="00156936">
        <w:t xml:space="preserve">orker </w:t>
      </w:r>
    </w:p>
    <w:p w14:paraId="316259B6" w14:textId="77777777" w:rsidR="001768D1" w:rsidRDefault="00A90954" w:rsidP="007D3FBF">
      <w:pPr>
        <w:pStyle w:val="1BODYArial11"/>
        <w:spacing w:line="240" w:lineRule="auto"/>
      </w:pPr>
      <w:r w:rsidRPr="00156936">
        <w:t>Sometimes wage restitution can</w:t>
      </w:r>
      <w:r w:rsidR="005A559C" w:rsidRPr="00156936">
        <w:t>not be paid to an affected employee because, for example, the employee has moved and can't be located.</w:t>
      </w:r>
      <w:r w:rsidR="00B84EF0">
        <w:rPr>
          <w:lang w:val="en-US"/>
        </w:rPr>
        <w:t xml:space="preserve"> </w:t>
      </w:r>
      <w:r w:rsidR="005A559C" w:rsidRPr="00156936">
        <w:t>In these cases, at the end of the project the prime contractor will be required to place in a deposit or escrow account an amount equal to the total amount of restitution that could not be paid because the employee(s) could not be located.</w:t>
      </w:r>
      <w:r w:rsidR="00156936">
        <w:rPr>
          <w:lang w:val="en-US"/>
        </w:rPr>
        <w:t xml:space="preserve"> </w:t>
      </w:r>
      <w:r w:rsidR="005A559C" w:rsidRPr="00156936">
        <w:t xml:space="preserve">The LSO will continue to attempt to locate workers </w:t>
      </w:r>
      <w:r w:rsidR="00F701B7" w:rsidRPr="00156936">
        <w:t xml:space="preserve">entitled to restitution </w:t>
      </w:r>
      <w:r w:rsidR="005A559C" w:rsidRPr="00156936">
        <w:t xml:space="preserve">for </w:t>
      </w:r>
      <w:r w:rsidR="00156936">
        <w:rPr>
          <w:lang w:val="en-US"/>
        </w:rPr>
        <w:t>three</w:t>
      </w:r>
      <w:r w:rsidR="005A559C" w:rsidRPr="00156936">
        <w:t xml:space="preserve"> years after the completion of the project. After </w:t>
      </w:r>
      <w:r w:rsidR="00156936">
        <w:rPr>
          <w:lang w:val="en-US"/>
        </w:rPr>
        <w:t xml:space="preserve">three </w:t>
      </w:r>
      <w:r w:rsidR="005A559C" w:rsidRPr="00156936">
        <w:t xml:space="preserve">years, any amount remaining in the account for workers </w:t>
      </w:r>
      <w:r w:rsidR="00F701B7" w:rsidRPr="00156936">
        <w:t xml:space="preserve">restitution </w:t>
      </w:r>
      <w:r w:rsidR="005A559C" w:rsidRPr="00156936">
        <w:t xml:space="preserve">will be credited and/or forwarded by the LSO to </w:t>
      </w:r>
      <w:r w:rsidR="00563AA5" w:rsidRPr="00156936">
        <w:t>TDA</w:t>
      </w:r>
      <w:r w:rsidR="00351883" w:rsidRPr="00156936">
        <w:t>.</w:t>
      </w:r>
      <w:r w:rsidR="00563AA5" w:rsidRPr="00156936">
        <w:t xml:space="preserve"> </w:t>
      </w:r>
    </w:p>
    <w:p w14:paraId="35B91346" w14:textId="77777777" w:rsidR="00156936" w:rsidRPr="00156936" w:rsidRDefault="001768D1" w:rsidP="007D3FBF">
      <w:pPr>
        <w:pStyle w:val="1BODYArial11"/>
        <w:spacing w:line="240" w:lineRule="auto"/>
      </w:pPr>
      <w:r w:rsidRPr="001768D1">
        <w:rPr>
          <w:b/>
          <w:bCs/>
          <w:lang w:val="en-US"/>
        </w:rPr>
        <w:t>NOTE</w:t>
      </w:r>
      <w:r>
        <w:rPr>
          <w:lang w:val="en-US"/>
        </w:rPr>
        <w:t xml:space="preserve">: </w:t>
      </w:r>
      <w:proofErr w:type="spellStart"/>
      <w:r>
        <w:rPr>
          <w:lang w:val="en-US"/>
        </w:rPr>
        <w:t>T</w:t>
      </w:r>
      <w:r w:rsidR="00156936" w:rsidRPr="00156936">
        <w:t>he</w:t>
      </w:r>
      <w:proofErr w:type="spellEnd"/>
      <w:r w:rsidR="00156936" w:rsidRPr="00156936">
        <w:t xml:space="preserve"> prime contractor is responsible and will be held liable for any wage restitution that is due to any worker employed in the construction of the project, including workers employed by subcontractors.  </w:t>
      </w:r>
    </w:p>
    <w:p w14:paraId="1F763481" w14:textId="77777777" w:rsidR="008451DD" w:rsidRPr="00141BF0" w:rsidRDefault="008451DD" w:rsidP="007D3FBF">
      <w:pPr>
        <w:rPr>
          <w:rFonts w:cs="Arial"/>
          <w:b/>
          <w:szCs w:val="28"/>
          <w:u w:val="single"/>
        </w:rPr>
      </w:pPr>
    </w:p>
    <w:p w14:paraId="7F6F75E5" w14:textId="77777777" w:rsidR="005A559C" w:rsidRPr="004300D2" w:rsidRDefault="005A559C" w:rsidP="007D3FBF">
      <w:pPr>
        <w:pStyle w:val="4BoldArial14"/>
        <w:rPr>
          <w:i/>
        </w:rPr>
      </w:pPr>
      <w:bookmarkStart w:id="8" w:name="_Toc123112453"/>
      <w:bookmarkStart w:id="9" w:name="_Toc123207973"/>
      <w:r w:rsidRPr="00B67E4F">
        <w:t>7.</w:t>
      </w:r>
      <w:r w:rsidR="0021079C">
        <w:t>2</w:t>
      </w:r>
      <w:r w:rsidRPr="00B67E4F">
        <w:t>.</w:t>
      </w:r>
      <w:r w:rsidR="0021079C">
        <w:t>2</w:t>
      </w:r>
      <w:r w:rsidRPr="00B67E4F">
        <w:t xml:space="preserve"> Labor </w:t>
      </w:r>
      <w:r w:rsidR="00FD48E8" w:rsidRPr="00B67E4F">
        <w:t>Disputes</w:t>
      </w:r>
      <w:bookmarkEnd w:id="8"/>
      <w:bookmarkEnd w:id="9"/>
      <w:r w:rsidR="00FD48E8">
        <w:t xml:space="preserve"> </w:t>
      </w:r>
      <w:r w:rsidR="00D719D0" w:rsidRPr="009406C6">
        <w:rPr>
          <w:i/>
          <w:color w:val="FF0000"/>
          <w:sz w:val="22"/>
        </w:rPr>
        <w:t xml:space="preserve"> </w:t>
      </w:r>
    </w:p>
    <w:p w14:paraId="720AD397" w14:textId="77777777" w:rsidR="005A559C" w:rsidRPr="00B67E4F" w:rsidRDefault="005A559C" w:rsidP="007D3FBF">
      <w:pPr>
        <w:jc w:val="both"/>
        <w:rPr>
          <w:rFonts w:cs="Arial"/>
          <w:szCs w:val="22"/>
        </w:rPr>
      </w:pPr>
    </w:p>
    <w:p w14:paraId="24643C5F" w14:textId="77777777" w:rsidR="00156936" w:rsidRPr="001768D1" w:rsidRDefault="005A559C" w:rsidP="007D3FBF">
      <w:pPr>
        <w:pStyle w:val="3BOLDArial11"/>
        <w:spacing w:line="240" w:lineRule="auto"/>
      </w:pPr>
      <w:r w:rsidRPr="001768D1">
        <w:t xml:space="preserve">Administrative Review on Labor Standards Disputes </w:t>
      </w:r>
    </w:p>
    <w:p w14:paraId="346CCD5F" w14:textId="77777777" w:rsidR="005A559C" w:rsidRDefault="005A559C" w:rsidP="007D3FBF">
      <w:pPr>
        <w:pStyle w:val="1BODYArial11"/>
        <w:spacing w:line="240" w:lineRule="auto"/>
      </w:pPr>
      <w:r w:rsidRPr="00156936">
        <w:t xml:space="preserve">The labor standards clauses in the TxCDBG contract and DOL regulations provide for administrative review of issues by </w:t>
      </w:r>
      <w:r w:rsidR="00A631F1" w:rsidRPr="00156936">
        <w:t xml:space="preserve">TDA </w:t>
      </w:r>
      <w:r w:rsidRPr="00156936">
        <w:t xml:space="preserve">where there is a difference of views between the LSO and any employer. The most common </w:t>
      </w:r>
      <w:r w:rsidR="003678F1" w:rsidRPr="00156936">
        <w:t>situations</w:t>
      </w:r>
      <w:r w:rsidRPr="00156936">
        <w:t xml:space="preserve"> include:</w:t>
      </w:r>
    </w:p>
    <w:p w14:paraId="4D0F8C94" w14:textId="77777777" w:rsidR="007E0F98" w:rsidRPr="00156936" w:rsidRDefault="007E0F98" w:rsidP="007D3FBF">
      <w:pPr>
        <w:pStyle w:val="1BODYArial11"/>
        <w:spacing w:line="240" w:lineRule="auto"/>
      </w:pPr>
    </w:p>
    <w:p w14:paraId="6890E626" w14:textId="310A552A" w:rsidR="005A559C" w:rsidRPr="00B67E4F" w:rsidRDefault="005A559C" w:rsidP="007D3FBF">
      <w:pPr>
        <w:pStyle w:val="1BODYArial11"/>
        <w:spacing w:line="240" w:lineRule="auto"/>
        <w:rPr>
          <w:u w:val="single"/>
        </w:rPr>
      </w:pPr>
      <w:r w:rsidRPr="001F7AD8">
        <w:rPr>
          <w:b/>
          <w:bCs/>
        </w:rPr>
        <w:t xml:space="preserve">Findings of </w:t>
      </w:r>
      <w:r w:rsidR="00D2447F">
        <w:rPr>
          <w:b/>
          <w:bCs/>
          <w:lang w:val="en-US"/>
        </w:rPr>
        <w:t xml:space="preserve">Underpayment </w:t>
      </w:r>
      <w:r w:rsidR="001F7AD8" w:rsidRPr="001F7AD8">
        <w:rPr>
          <w:lang w:val="en-US"/>
        </w:rPr>
        <w:t>–</w:t>
      </w:r>
      <w:r w:rsidR="001F7AD8">
        <w:rPr>
          <w:b/>
          <w:bCs/>
          <w:lang w:val="en-US"/>
        </w:rPr>
        <w:t xml:space="preserve"> </w:t>
      </w:r>
      <w:r w:rsidRPr="00B67E4F">
        <w:t xml:space="preserve">Compliance reviews and other investigations may result in findings of underpayment. The employer will have an opportunity to provide additional information to the LSO that may explain apparent inconsistencies and/or resolve the discrepancies. </w:t>
      </w:r>
    </w:p>
    <w:p w14:paraId="19DA3E96" w14:textId="77777777" w:rsidR="005A559C" w:rsidRPr="00B67E4F" w:rsidRDefault="005A559C" w:rsidP="007D3FBF"/>
    <w:p w14:paraId="3BE1718F" w14:textId="256169BA" w:rsidR="005F63A2" w:rsidRDefault="005A559C" w:rsidP="007D3FBF">
      <w:pPr>
        <w:pStyle w:val="1BODYArial11"/>
        <w:spacing w:line="240" w:lineRule="auto"/>
        <w:rPr>
          <w:lang w:val="en-US"/>
        </w:rPr>
      </w:pPr>
      <w:r w:rsidRPr="001F7AD8">
        <w:rPr>
          <w:b/>
          <w:bCs/>
        </w:rPr>
        <w:t>Withholding</w:t>
      </w:r>
      <w:r w:rsidR="001F7AD8">
        <w:rPr>
          <w:b/>
          <w:bCs/>
          <w:lang w:val="en-US"/>
        </w:rPr>
        <w:t xml:space="preserve"> </w:t>
      </w:r>
      <w:r w:rsidR="001F7AD8" w:rsidRPr="001F7AD8">
        <w:rPr>
          <w:lang w:val="en-US"/>
        </w:rPr>
        <w:t>–</w:t>
      </w:r>
      <w:r w:rsidR="001F7AD8">
        <w:rPr>
          <w:b/>
          <w:bCs/>
          <w:lang w:val="en-US"/>
        </w:rPr>
        <w:t xml:space="preserve"> </w:t>
      </w:r>
      <w:r w:rsidRPr="00B67E4F">
        <w:t xml:space="preserve">The LSO may cause withholding </w:t>
      </w:r>
      <w:r w:rsidR="003678F1">
        <w:t xml:space="preserve">of </w:t>
      </w:r>
      <w:r w:rsidRPr="00B67E4F">
        <w:t xml:space="preserve">payments </w:t>
      </w:r>
      <w:r w:rsidR="004A6F4D">
        <w:rPr>
          <w:lang w:val="en-US"/>
        </w:rPr>
        <w:t>owed</w:t>
      </w:r>
      <w:r w:rsidR="004A6F4D" w:rsidRPr="00B67E4F">
        <w:t xml:space="preserve"> </w:t>
      </w:r>
      <w:r w:rsidRPr="00B67E4F">
        <w:t>to the prime contractor to ensure the payment of wages which are believed to be due and unpaid</w:t>
      </w:r>
      <w:r w:rsidR="00467048">
        <w:rPr>
          <w:lang w:val="en-US"/>
        </w:rPr>
        <w:t xml:space="preserve">. </w:t>
      </w:r>
    </w:p>
    <w:p w14:paraId="2521DE30" w14:textId="77777777" w:rsidR="00311654" w:rsidRDefault="00311654" w:rsidP="007D3FBF">
      <w:pPr>
        <w:pStyle w:val="1BODYArial11"/>
        <w:spacing w:line="240" w:lineRule="auto"/>
        <w:rPr>
          <w:lang w:val="en-US"/>
        </w:rPr>
      </w:pPr>
    </w:p>
    <w:p w14:paraId="649FC0DB" w14:textId="2F5A7258" w:rsidR="005A559C" w:rsidRPr="00B67E4F" w:rsidRDefault="004A6F4D" w:rsidP="007D3FBF">
      <w:pPr>
        <w:pStyle w:val="1BODYArial11"/>
        <w:spacing w:line="240" w:lineRule="auto"/>
      </w:pPr>
      <w:r w:rsidRPr="00467048">
        <w:rPr>
          <w:b/>
          <w:bCs/>
          <w:lang w:val="en-US"/>
        </w:rPr>
        <w:t>EXAMPLE</w:t>
      </w:r>
      <w:r>
        <w:rPr>
          <w:lang w:val="en-US"/>
        </w:rPr>
        <w:t>:</w:t>
      </w:r>
      <w:r w:rsidR="005A559C" w:rsidRPr="00B67E4F">
        <w:t xml:space="preserve"> </w:t>
      </w:r>
      <w:r w:rsidR="00467048">
        <w:rPr>
          <w:lang w:val="en-US"/>
        </w:rPr>
        <w:t>I</w:t>
      </w:r>
      <w:r w:rsidR="005A559C" w:rsidRPr="00B67E4F">
        <w:t xml:space="preserve">f wage underpayments or other violations are not corrected within 30 days after notification to the prime contractor. </w:t>
      </w:r>
    </w:p>
    <w:p w14:paraId="5FB66C85" w14:textId="77777777" w:rsidR="002636A6" w:rsidRDefault="002636A6" w:rsidP="007D3FBF"/>
    <w:p w14:paraId="746E17C9" w14:textId="77777777" w:rsidR="005A559C" w:rsidRPr="001768D1" w:rsidRDefault="005A559C" w:rsidP="007D3FBF">
      <w:pPr>
        <w:pStyle w:val="3BOLDArial11"/>
        <w:spacing w:line="240" w:lineRule="auto"/>
      </w:pPr>
      <w:r w:rsidRPr="001768D1">
        <w:t>Deposits and Escrows</w:t>
      </w:r>
      <w:r w:rsidR="00D719D0" w:rsidRPr="001768D1">
        <w:t xml:space="preserve"> </w:t>
      </w:r>
    </w:p>
    <w:p w14:paraId="3E936252" w14:textId="77777777" w:rsidR="005A559C" w:rsidRPr="003D5658" w:rsidRDefault="00C267D0" w:rsidP="007D3FBF">
      <w:pPr>
        <w:pStyle w:val="1BODYArial11"/>
        <w:spacing w:line="240" w:lineRule="auto"/>
      </w:pPr>
      <w:r>
        <w:t>If</w:t>
      </w:r>
      <w:r w:rsidR="005A559C" w:rsidRPr="00B67E4F">
        <w:t xml:space="preserve"> corrective actions or disputes continue after the project is </w:t>
      </w:r>
      <w:r w:rsidR="005A559C" w:rsidRPr="003D5658">
        <w:t>completed</w:t>
      </w:r>
      <w:r w:rsidR="00F701B7" w:rsidRPr="003D5658">
        <w:t>,</w:t>
      </w:r>
      <w:r w:rsidR="005A559C" w:rsidRPr="003D5658">
        <w:t xml:space="preserve"> provisions must be made to ensure that funds are available to pay any wage restitution that is found due. In these cases, </w:t>
      </w:r>
      <w:r w:rsidR="003F7685" w:rsidRPr="003D5658">
        <w:t xml:space="preserve">TDA </w:t>
      </w:r>
      <w:r w:rsidR="005A559C" w:rsidRPr="003D5658">
        <w:t xml:space="preserve">allows the project to proceed to final closings and payments </w:t>
      </w:r>
      <w:r w:rsidR="005A559C" w:rsidRPr="003D5658">
        <w:rPr>
          <w:i/>
        </w:rPr>
        <w:t xml:space="preserve">provided </w:t>
      </w:r>
      <w:r w:rsidR="005A559C" w:rsidRPr="003D5658">
        <w:t xml:space="preserve">the prime contractor deposits an amount equal to the potential liability for wage restitution and liquidated damages, if necessary, in a special account. The deposit or escrow account is controlled by the LSO. When a final decision is rendered, the LSO makes disbursements from the account in accordance with the decision. Deposit/escrow accounts are established for one or more of the following reasons: </w:t>
      </w:r>
    </w:p>
    <w:p w14:paraId="372FB7A2" w14:textId="6AC32F6A" w:rsidR="005A559C" w:rsidRPr="003D5658" w:rsidRDefault="005A559C" w:rsidP="007D3FBF">
      <w:pPr>
        <w:pStyle w:val="2BULLETArial11"/>
        <w:spacing w:line="240" w:lineRule="auto"/>
      </w:pPr>
      <w:r w:rsidRPr="003D5658">
        <w:t xml:space="preserve">Where the parties have agreed to amounts of wage restitution that are </w:t>
      </w:r>
      <w:proofErr w:type="gramStart"/>
      <w:r w:rsidRPr="003D5658">
        <w:t>due</w:t>
      </w:r>
      <w:proofErr w:type="gramEnd"/>
      <w:r w:rsidRPr="003D5658">
        <w:t xml:space="preserve"> </w:t>
      </w:r>
      <w:r w:rsidRPr="003D5658">
        <w:rPr>
          <w:i/>
        </w:rPr>
        <w:t>but</w:t>
      </w:r>
      <w:r w:rsidRPr="003D5658">
        <w:t xml:space="preserve"> the employer has not yet furnished evidence that all of the underpaid workers have received their back wages. The deposit is equal to the amount of restitution due to workers </w:t>
      </w:r>
      <w:r w:rsidR="00F701B7" w:rsidRPr="003D5658">
        <w:t>not supported by adequate documentation of payment.</w:t>
      </w:r>
      <w:r w:rsidRPr="003D5658">
        <w:t xml:space="preserve"> As proper documentation is received, amounts corresponding to the documentation are returned to the </w:t>
      </w:r>
      <w:r w:rsidR="00746A71" w:rsidRPr="003D5658">
        <w:t>prime contractor</w:t>
      </w:r>
      <w:r w:rsidRPr="003D5658">
        <w:t xml:space="preserve">. Amounts for any workers who </w:t>
      </w:r>
      <w:r w:rsidR="005F0079" w:rsidRPr="003D5658">
        <w:t>cannot</w:t>
      </w:r>
      <w:r w:rsidRPr="003D5658">
        <w:t xml:space="preserve"> be located are held in the escrow account for three years and disbursed as described</w:t>
      </w:r>
      <w:r w:rsidR="00746A71" w:rsidRPr="003D5658">
        <w:t xml:space="preserve"> </w:t>
      </w:r>
      <w:r w:rsidR="002668CE" w:rsidRPr="003D5658">
        <w:t>above</w:t>
      </w:r>
      <w:r w:rsidR="002668CE">
        <w:t xml:space="preserve">, </w:t>
      </w:r>
      <w:r w:rsidR="002668CE" w:rsidRPr="003D5658">
        <w:t>see</w:t>
      </w:r>
      <w:r w:rsidR="00746A71" w:rsidRPr="003D5658">
        <w:t xml:space="preserve"> </w:t>
      </w:r>
      <w:r w:rsidR="009B5106">
        <w:t xml:space="preserve">Section </w:t>
      </w:r>
      <w:r w:rsidR="009B5106" w:rsidRPr="000E6120">
        <w:rPr>
          <w:i/>
          <w:iCs/>
        </w:rPr>
        <w:t>7.2.1</w:t>
      </w:r>
      <w:r w:rsidR="009B5106">
        <w:t xml:space="preserve"> </w:t>
      </w:r>
      <w:r w:rsidR="00746A71" w:rsidRPr="000E6120">
        <w:rPr>
          <w:i/>
          <w:iCs/>
        </w:rPr>
        <w:t>R</w:t>
      </w:r>
      <w:r w:rsidRPr="000E6120">
        <w:rPr>
          <w:i/>
          <w:iCs/>
        </w:rPr>
        <w:t xml:space="preserve">estitution on </w:t>
      </w:r>
      <w:r w:rsidR="00746A71" w:rsidRPr="000E6120">
        <w:rPr>
          <w:i/>
          <w:iCs/>
        </w:rPr>
        <w:t>U</w:t>
      </w:r>
      <w:r w:rsidRPr="000E6120">
        <w:rPr>
          <w:i/>
          <w:iCs/>
        </w:rPr>
        <w:t xml:space="preserve">nderpayment of </w:t>
      </w:r>
      <w:r w:rsidR="00746A71" w:rsidRPr="000E6120">
        <w:rPr>
          <w:i/>
          <w:iCs/>
        </w:rPr>
        <w:t>W</w:t>
      </w:r>
      <w:r w:rsidRPr="000E6120">
        <w:rPr>
          <w:i/>
          <w:iCs/>
        </w:rPr>
        <w:t>ages</w:t>
      </w:r>
      <w:r w:rsidR="001F7AD8">
        <w:t>.</w:t>
      </w:r>
    </w:p>
    <w:p w14:paraId="3CA4A582" w14:textId="77777777" w:rsidR="005A559C" w:rsidRPr="003D5658" w:rsidRDefault="005A559C" w:rsidP="007D3FBF">
      <w:pPr>
        <w:pStyle w:val="2BULLETArial11"/>
        <w:spacing w:line="240" w:lineRule="auto"/>
      </w:pPr>
      <w:r w:rsidRPr="003D5658">
        <w:t xml:space="preserve">Where underpayments are suspected or </w:t>
      </w:r>
      <w:r w:rsidR="00F3722E" w:rsidRPr="003D5658">
        <w:t>alleged,</w:t>
      </w:r>
      <w:r w:rsidR="001F7AD8">
        <w:t xml:space="preserve"> </w:t>
      </w:r>
      <w:r w:rsidRPr="003D5658">
        <w:t xml:space="preserve">and an investigation has not yet been completed. The deposit is equal to the amount of wage restitution and any liquidated damages, if applicable, that is estimated to be due. If the final determination of wages due is less than the amount estimated and placed in the escrow account, the escrow will be reduced </w:t>
      </w:r>
      <w:r w:rsidR="003D3D4F">
        <w:t>t</w:t>
      </w:r>
      <w:r w:rsidRPr="003D5658">
        <w:t xml:space="preserve">o the final amount and the difference will be returned to the </w:t>
      </w:r>
      <w:r w:rsidR="00746A71" w:rsidRPr="003D5658">
        <w:t>prime contractor</w:t>
      </w:r>
      <w:r w:rsidRPr="003D5658">
        <w:t>. If the parties agree to the investigative findings, the amounts d</w:t>
      </w:r>
      <w:r w:rsidRPr="00F96E6B">
        <w:t>ue</w:t>
      </w:r>
      <w:r w:rsidRPr="003D5658">
        <w:t xml:space="preserve"> to the workers will be disbursed from the escrow account in accordance with the schedule of wages due. Amounts for unfound workers will b</w:t>
      </w:r>
      <w:r w:rsidR="00697042" w:rsidRPr="003D5658">
        <w:t xml:space="preserve">e retained as described above. </w:t>
      </w:r>
      <w:r w:rsidRPr="003D5658">
        <w:t xml:space="preserve">If the parties </w:t>
      </w:r>
      <w:r w:rsidRPr="003D5658">
        <w:rPr>
          <w:i/>
        </w:rPr>
        <w:t>do not</w:t>
      </w:r>
      <w:r w:rsidRPr="003D5658">
        <w:t xml:space="preserve"> agree and an administrative hearing is requested, the escrow will be maintained as explained earlier. </w:t>
      </w:r>
    </w:p>
    <w:p w14:paraId="136E3609" w14:textId="77777777" w:rsidR="005A559C" w:rsidRPr="003D5658" w:rsidRDefault="005A559C" w:rsidP="007D3FBF">
      <w:pPr>
        <w:pStyle w:val="2BULLETArial11"/>
        <w:spacing w:line="240" w:lineRule="auto"/>
      </w:pPr>
      <w:r w:rsidRPr="003D5658">
        <w:t xml:space="preserve">Where the parties are waiting for the outcome of an administrative hearing that has been or will be filed contesting a final determination of wages due. The deposit </w:t>
      </w:r>
      <w:r w:rsidR="00FA6BF9" w:rsidRPr="003D5658">
        <w:t xml:space="preserve">must </w:t>
      </w:r>
      <w:r w:rsidRPr="003D5658">
        <w:t>be equal to the amount of wage restitution and liquidated damages, if applicable, that have been determined due. Once a final decision is rendered, disbursements from the escrow account are made in accordance with the decision.</w:t>
      </w:r>
    </w:p>
    <w:p w14:paraId="061BA787" w14:textId="77777777" w:rsidR="00506265" w:rsidRPr="00B67E4F" w:rsidRDefault="00506265" w:rsidP="007D3FBF">
      <w:pPr>
        <w:jc w:val="both"/>
        <w:rPr>
          <w:rFonts w:cs="Arial"/>
          <w:szCs w:val="22"/>
        </w:rPr>
      </w:pPr>
    </w:p>
    <w:p w14:paraId="6DF6989E" w14:textId="77777777" w:rsidR="005A559C" w:rsidRPr="001768D1" w:rsidRDefault="005A559C" w:rsidP="007D3FBF">
      <w:pPr>
        <w:pStyle w:val="3BOLDArial11"/>
        <w:spacing w:line="240" w:lineRule="auto"/>
      </w:pPr>
      <w:r w:rsidRPr="001768D1">
        <w:t>Debarment</w:t>
      </w:r>
      <w:r w:rsidR="00D719D0" w:rsidRPr="001768D1">
        <w:t xml:space="preserve"> </w:t>
      </w:r>
    </w:p>
    <w:p w14:paraId="2849D68B" w14:textId="77777777" w:rsidR="0075177C" w:rsidRPr="001768D1" w:rsidRDefault="005A559C" w:rsidP="007D3FBF">
      <w:pPr>
        <w:pStyle w:val="1BODYArial11"/>
        <w:spacing w:line="240" w:lineRule="auto"/>
      </w:pPr>
      <w:r w:rsidRPr="001768D1">
        <w:t xml:space="preserve">Contractors and/or subcontractors that are found by the Secretary of Labor to be in aggravated or willful violation of the labor standards provisions of the DBRA will be ineligible (debarred) to participate in any DBRA contracts for up to 3 years. Debarment includes the contractor or subcontractor and any firm, corporation, partnership or association in which the contractor or subcontractor has a substantial interest. Debarment proceedings can be recommended by the LSO or can be initiated by the DOL on its motion. Debarment proceedings are described </w:t>
      </w:r>
      <w:r w:rsidR="00C267D0" w:rsidRPr="001768D1">
        <w:t>at</w:t>
      </w:r>
      <w:r w:rsidRPr="001768D1">
        <w:t xml:space="preserve"> 29 CFR 5.12.</w:t>
      </w:r>
    </w:p>
    <w:p w14:paraId="748A79AF" w14:textId="644194E4" w:rsidR="003F143C" w:rsidRDefault="003F143C" w:rsidP="007D3FBF">
      <w:pPr>
        <w:jc w:val="both"/>
        <w:rPr>
          <w:rFonts w:cs="Arial"/>
          <w:szCs w:val="22"/>
        </w:rPr>
      </w:pPr>
    </w:p>
    <w:p w14:paraId="42F9D1F5" w14:textId="77777777" w:rsidR="003F143C" w:rsidRDefault="003F143C" w:rsidP="007D3FBF">
      <w:pPr>
        <w:jc w:val="both"/>
        <w:rPr>
          <w:rFonts w:cs="Arial"/>
          <w:szCs w:val="22"/>
        </w:rPr>
      </w:pPr>
    </w:p>
    <w:p w14:paraId="168EE2A3" w14:textId="77777777" w:rsidR="005A559C" w:rsidRPr="00056689" w:rsidRDefault="005A559C" w:rsidP="007D3FBF">
      <w:pPr>
        <w:pStyle w:val="Heading1"/>
      </w:pPr>
      <w:bookmarkStart w:id="10" w:name="_Toc123112454"/>
      <w:bookmarkStart w:id="11" w:name="_Toc123207974"/>
      <w:r w:rsidRPr="00056689">
        <w:t>7.</w:t>
      </w:r>
      <w:r w:rsidR="0021079C" w:rsidRPr="00056689">
        <w:t>3</w:t>
      </w:r>
      <w:r w:rsidRPr="00056689">
        <w:t xml:space="preserve"> Exemptions</w:t>
      </w:r>
      <w:bookmarkEnd w:id="10"/>
      <w:bookmarkEnd w:id="11"/>
    </w:p>
    <w:p w14:paraId="02993EAA" w14:textId="77777777" w:rsidR="005A559C" w:rsidRPr="00B67E4F" w:rsidRDefault="005A559C" w:rsidP="007D3FBF">
      <w:pPr>
        <w:jc w:val="both"/>
        <w:rPr>
          <w:rFonts w:cs="Arial"/>
          <w:szCs w:val="22"/>
        </w:rPr>
      </w:pPr>
    </w:p>
    <w:p w14:paraId="4C05C31E" w14:textId="77777777" w:rsidR="005A559C" w:rsidRPr="001768D1" w:rsidRDefault="005A559C" w:rsidP="007D3FBF">
      <w:pPr>
        <w:pStyle w:val="1BODYArial11"/>
        <w:spacing w:line="240" w:lineRule="auto"/>
      </w:pPr>
      <w:r w:rsidRPr="001768D1">
        <w:t xml:space="preserve">The following contracts and activities are </w:t>
      </w:r>
      <w:r w:rsidRPr="001768D1">
        <w:rPr>
          <w:b/>
          <w:bCs/>
        </w:rPr>
        <w:t>exempt</w:t>
      </w:r>
      <w:r w:rsidRPr="001768D1">
        <w:t xml:space="preserve"> from Davis-Bacon</w:t>
      </w:r>
      <w:r w:rsidR="00481478" w:rsidRPr="001768D1">
        <w:t xml:space="preserve"> requirements</w:t>
      </w:r>
      <w:r w:rsidRPr="001768D1">
        <w:t xml:space="preserve"> except where indicated:</w:t>
      </w:r>
    </w:p>
    <w:p w14:paraId="141B3B0F" w14:textId="77777777" w:rsidR="005A559C" w:rsidRPr="001F7AD8" w:rsidRDefault="005A559C" w:rsidP="007D3FBF">
      <w:pPr>
        <w:pStyle w:val="2BULLETArial11"/>
        <w:spacing w:line="240" w:lineRule="auto"/>
      </w:pPr>
      <w:r w:rsidRPr="001F7AD8">
        <w:t xml:space="preserve">Construction </w:t>
      </w:r>
      <w:r w:rsidR="00321D1E" w:rsidRPr="001F7AD8">
        <w:t xml:space="preserve">contracts </w:t>
      </w:r>
      <w:r w:rsidRPr="001F7AD8">
        <w:t xml:space="preserve">of $2,000 or </w:t>
      </w:r>
      <w:proofErr w:type="gramStart"/>
      <w:r w:rsidRPr="001F7AD8">
        <w:t>less;</w:t>
      </w:r>
      <w:proofErr w:type="gramEnd"/>
      <w:r w:rsidRPr="001F7AD8">
        <w:t xml:space="preserve"> </w:t>
      </w:r>
    </w:p>
    <w:p w14:paraId="73B55ACE" w14:textId="0064FE4D" w:rsidR="005A559C" w:rsidRPr="001F7AD8" w:rsidRDefault="005A559C" w:rsidP="007D3FBF">
      <w:pPr>
        <w:pStyle w:val="2BULLETArial11"/>
        <w:spacing w:line="240" w:lineRule="auto"/>
      </w:pPr>
      <w:r w:rsidRPr="001F7AD8">
        <w:t xml:space="preserve">Construction contracts of $100,000 or less are exempt from </w:t>
      </w:r>
      <w:r w:rsidR="009B5106">
        <w:t xml:space="preserve">the </w:t>
      </w:r>
      <w:r w:rsidR="009B5106" w:rsidRPr="00AD13A6">
        <w:t>Contract Work Hours and Safety Standards Act</w:t>
      </w:r>
      <w:r w:rsidR="009B5106" w:rsidRPr="001F7AD8">
        <w:t xml:space="preserve"> </w:t>
      </w:r>
      <w:r w:rsidR="009B5106">
        <w:t>(</w:t>
      </w:r>
      <w:r w:rsidRPr="001F7AD8">
        <w:t>CWHSSA</w:t>
      </w:r>
      <w:r w:rsidR="009B5106">
        <w:t>)</w:t>
      </w:r>
      <w:r w:rsidRPr="001F7AD8">
        <w:t xml:space="preserve"> </w:t>
      </w:r>
      <w:proofErr w:type="gramStart"/>
      <w:r w:rsidRPr="001F7AD8">
        <w:t>only;</w:t>
      </w:r>
      <w:proofErr w:type="gramEnd"/>
    </w:p>
    <w:p w14:paraId="0F697F0F" w14:textId="49FDFB74" w:rsidR="001570B3" w:rsidRPr="001F7AD8" w:rsidRDefault="001570B3" w:rsidP="007D3FBF">
      <w:pPr>
        <w:pStyle w:val="2BULLETArial11"/>
        <w:spacing w:line="240" w:lineRule="auto"/>
      </w:pPr>
      <w:r w:rsidRPr="001F7AD8">
        <w:t>Single-family homeowner residences</w:t>
      </w:r>
      <w:r w:rsidR="005F63A2">
        <w:t>;</w:t>
      </w:r>
      <w:r w:rsidR="005F63A2">
        <w:rPr>
          <w:rStyle w:val="FootnoteReference"/>
        </w:rPr>
        <w:footnoteReference w:id="5"/>
      </w:r>
    </w:p>
    <w:p w14:paraId="5D3C1D6B" w14:textId="62A96DE9" w:rsidR="005A559C" w:rsidRPr="001F7AD8" w:rsidRDefault="005A559C" w:rsidP="007D3FBF">
      <w:pPr>
        <w:pStyle w:val="2BULLETArial11"/>
        <w:spacing w:line="240" w:lineRule="auto"/>
        <w:ind w:right="-144"/>
      </w:pPr>
      <w:r w:rsidRPr="001F7AD8">
        <w:t>Rehabilitation of residential</w:t>
      </w:r>
      <w:r w:rsidR="0096101D" w:rsidRPr="001F7AD8">
        <w:rPr>
          <w:i/>
        </w:rPr>
        <w:t xml:space="preserve"> </w:t>
      </w:r>
      <w:r w:rsidRPr="001F7AD8">
        <w:t xml:space="preserve">property designed for fewer than eight </w:t>
      </w:r>
      <w:proofErr w:type="gramStart"/>
      <w:r w:rsidRPr="001F7AD8">
        <w:t>families;</w:t>
      </w:r>
      <w:proofErr w:type="gramEnd"/>
      <w:r w:rsidR="005F63A2">
        <w:rPr>
          <w:rStyle w:val="FootnoteReference"/>
        </w:rPr>
        <w:footnoteReference w:id="6"/>
      </w:r>
      <w:r w:rsidR="00BB533E" w:rsidRPr="001F7AD8">
        <w:t xml:space="preserve"> </w:t>
      </w:r>
    </w:p>
    <w:p w14:paraId="664169D6" w14:textId="77777777" w:rsidR="00734B70" w:rsidRPr="001F7AD8" w:rsidRDefault="005A559C" w:rsidP="007D3FBF">
      <w:pPr>
        <w:pStyle w:val="2BULLETArial11"/>
        <w:spacing w:line="240" w:lineRule="auto"/>
      </w:pPr>
      <w:r w:rsidRPr="001F7AD8">
        <w:t>Demolition and/or clearance activities (for example, debris removal), unless related to construction</w:t>
      </w:r>
      <w:r w:rsidR="004E746F" w:rsidRPr="001F7AD8">
        <w:t xml:space="preserve">; </w:t>
      </w:r>
      <w:r w:rsidRPr="001F7AD8">
        <w:t xml:space="preserve">demolition and clearance as independent functions are not considered </w:t>
      </w:r>
      <w:proofErr w:type="gramStart"/>
      <w:r w:rsidRPr="001F7AD8">
        <w:t>construction</w:t>
      </w:r>
      <w:r w:rsidR="001B6293" w:rsidRPr="001F7AD8">
        <w:t>;</w:t>
      </w:r>
      <w:proofErr w:type="gramEnd"/>
    </w:p>
    <w:p w14:paraId="76861A05" w14:textId="77777777" w:rsidR="005A559C" w:rsidRPr="003B498A" w:rsidRDefault="005A559C" w:rsidP="007D3FBF">
      <w:pPr>
        <w:pStyle w:val="2BULLETArial11"/>
        <w:spacing w:line="240" w:lineRule="auto"/>
      </w:pPr>
      <w:r w:rsidRPr="003B498A">
        <w:t xml:space="preserve">Labor/installation charges on equipment or materials purchases, if that portion of the contract is </w:t>
      </w:r>
      <w:r w:rsidR="00CA1F13" w:rsidRPr="001B6293">
        <w:t>less than</w:t>
      </w:r>
      <w:r w:rsidR="00CA1F13">
        <w:t xml:space="preserve"> </w:t>
      </w:r>
      <w:r w:rsidR="00DD75FF">
        <w:t xml:space="preserve">13% </w:t>
      </w:r>
      <w:r w:rsidRPr="003B498A">
        <w:t>of the tota</w:t>
      </w:r>
      <w:r w:rsidR="0033458B" w:rsidRPr="003B498A">
        <w:t xml:space="preserve">l cost of the item(s) </w:t>
      </w:r>
      <w:proofErr w:type="gramStart"/>
      <w:r w:rsidR="0033458B" w:rsidRPr="003B498A">
        <w:t>purchased</w:t>
      </w:r>
      <w:r w:rsidR="001B6293">
        <w:t>;</w:t>
      </w:r>
      <w:proofErr w:type="gramEnd"/>
    </w:p>
    <w:p w14:paraId="11A12582" w14:textId="72C087D4" w:rsidR="00141BF0" w:rsidRDefault="005F63A2" w:rsidP="007D3FBF">
      <w:pPr>
        <w:pStyle w:val="2BULLETArial11"/>
        <w:spacing w:line="240" w:lineRule="auto"/>
      </w:pPr>
      <w:r>
        <w:t>Force Account c</w:t>
      </w:r>
      <w:r w:rsidR="005A559C" w:rsidRPr="00B67E4F">
        <w:t>onstruction work performed by the employees of the Grant Recipient that are engaged on an otherwise covered project; and</w:t>
      </w:r>
    </w:p>
    <w:p w14:paraId="6E28B115" w14:textId="77777777" w:rsidR="005A559C" w:rsidRPr="00743E58" w:rsidRDefault="005A559C" w:rsidP="007D3FBF">
      <w:pPr>
        <w:pStyle w:val="2BULLETArial11"/>
        <w:spacing w:line="240" w:lineRule="auto"/>
      </w:pPr>
      <w:r w:rsidRPr="00B67E4F">
        <w:t xml:space="preserve">Construction work </w:t>
      </w:r>
      <w:proofErr w:type="gramStart"/>
      <w:r w:rsidRPr="00B67E4F">
        <w:t>performed</w:t>
      </w:r>
      <w:proofErr w:type="gramEnd"/>
      <w:r w:rsidRPr="00B67E4F">
        <w:t xml:space="preserve"> by a public utility extending its own utility system</w:t>
      </w:r>
      <w:r w:rsidR="00914E8C">
        <w:t>.</w:t>
      </w:r>
      <w:r w:rsidRPr="00B67E4F">
        <w:t xml:space="preserve"> </w:t>
      </w:r>
      <w:r w:rsidR="00347374">
        <w:rPr>
          <w:i/>
          <w:color w:val="FF0000"/>
        </w:rPr>
        <w:t xml:space="preserve"> </w:t>
      </w:r>
    </w:p>
    <w:p w14:paraId="2A1E700F" w14:textId="77777777" w:rsidR="00743E58" w:rsidRPr="00B67E4F" w:rsidRDefault="00743E58" w:rsidP="007D3FBF">
      <w:pPr>
        <w:pStyle w:val="2BULLETArial11"/>
        <w:numPr>
          <w:ilvl w:val="0"/>
          <w:numId w:val="0"/>
        </w:numPr>
        <w:spacing w:line="240" w:lineRule="auto"/>
        <w:ind w:left="720"/>
      </w:pPr>
    </w:p>
    <w:p w14:paraId="1E93D3BF" w14:textId="77777777" w:rsidR="005F63A2" w:rsidRDefault="005A559C" w:rsidP="007D3FBF">
      <w:pPr>
        <w:pStyle w:val="1BODYArial11"/>
        <w:spacing w:line="240" w:lineRule="auto"/>
        <w:rPr>
          <w:lang w:val="en-US"/>
        </w:rPr>
      </w:pPr>
      <w:r w:rsidRPr="00E518B3">
        <w:t>The Grant Recipient must notify T</w:t>
      </w:r>
      <w:r w:rsidR="00F701B7" w:rsidRPr="00E518B3">
        <w:t>DA</w:t>
      </w:r>
      <w:r w:rsidRPr="00E518B3">
        <w:t xml:space="preserve"> if pursuing this method. T</w:t>
      </w:r>
      <w:r w:rsidR="00F701B7" w:rsidRPr="00E518B3">
        <w:t>DA</w:t>
      </w:r>
      <w:r w:rsidRPr="00E518B3">
        <w:t xml:space="preserve"> may request documentation prior to authorizing payment that the price charged by the public utility is less than the price that would be anticipated if the construction had been procured by sealed bids.</w:t>
      </w:r>
      <w:r w:rsidR="00AF0020" w:rsidRPr="00E518B3">
        <w:t xml:space="preserve">  </w:t>
      </w:r>
      <w:r w:rsidRPr="00E518B3">
        <w:t xml:space="preserve">With the exception of the situations listed in this section, all workers employed by contractors or subcontractors in the performance of construction work financed in whole or in part with assistance received under </w:t>
      </w:r>
      <w:r w:rsidR="00756E00">
        <w:t xml:space="preserve">the </w:t>
      </w:r>
      <w:r w:rsidRPr="00E518B3">
        <w:t xml:space="preserve">TxCDBG program </w:t>
      </w:r>
      <w:r w:rsidR="00FA6BF9" w:rsidRPr="00106B10">
        <w:t>must</w:t>
      </w:r>
      <w:r w:rsidR="009C37E2">
        <w:t xml:space="preserve"> </w:t>
      </w:r>
      <w:r w:rsidRPr="00E518B3">
        <w:t>be paid wages at rates not less than those prevailing on similar construction in the locality as determined by the Secretary of Labor in accordance with the Davis-Bacon Act, as amended.</w:t>
      </w:r>
      <w:r w:rsidR="003D3D4F">
        <w:rPr>
          <w:lang w:val="en-US"/>
        </w:rPr>
        <w:t xml:space="preserve"> </w:t>
      </w:r>
    </w:p>
    <w:p w14:paraId="05046E01" w14:textId="77777777" w:rsidR="008451DD" w:rsidRDefault="008451DD" w:rsidP="007D3FBF">
      <w:pPr>
        <w:pStyle w:val="1BODYArial11"/>
        <w:spacing w:line="240" w:lineRule="auto"/>
        <w:rPr>
          <w:b/>
          <w:bCs/>
        </w:rPr>
      </w:pPr>
    </w:p>
    <w:p w14:paraId="6CBDCBFC" w14:textId="6B3901BC" w:rsidR="001768D1" w:rsidRPr="003D3D4F" w:rsidRDefault="001768D1" w:rsidP="007D3FBF">
      <w:pPr>
        <w:pStyle w:val="1BODYArial11"/>
        <w:spacing w:line="240" w:lineRule="auto"/>
      </w:pPr>
      <w:r w:rsidRPr="00F96E6B">
        <w:rPr>
          <w:b/>
          <w:bCs/>
        </w:rPr>
        <w:t>NOTE:</w:t>
      </w:r>
      <w:r w:rsidRPr="00BC32B9">
        <w:t xml:space="preserve"> </w:t>
      </w:r>
      <w:r w:rsidRPr="00F96E6B">
        <w:rPr>
          <w:spacing w:val="-4"/>
        </w:rPr>
        <w:t>The Fair Labor Standards Act (FLSA) is usually applicable, whether or not the DBRA or CWHSSA apply.</w:t>
      </w:r>
    </w:p>
    <w:p w14:paraId="484768E6" w14:textId="28E13C58" w:rsidR="00743E58" w:rsidRDefault="00743E58" w:rsidP="007D3FBF">
      <w:pPr>
        <w:rPr>
          <w:rFonts w:cs="Arial"/>
          <w:szCs w:val="22"/>
        </w:rPr>
      </w:pPr>
    </w:p>
    <w:p w14:paraId="63D4BD74" w14:textId="69A6C124" w:rsidR="00311654" w:rsidRDefault="00311654" w:rsidP="007D3FBF">
      <w:pPr>
        <w:rPr>
          <w:rFonts w:cs="Arial"/>
          <w:szCs w:val="22"/>
        </w:rPr>
      </w:pPr>
    </w:p>
    <w:p w14:paraId="11E30117" w14:textId="5188657E" w:rsidR="005A559C" w:rsidRPr="00056689" w:rsidRDefault="005A559C" w:rsidP="007D3FBF">
      <w:pPr>
        <w:pStyle w:val="Heading1"/>
      </w:pPr>
      <w:bookmarkStart w:id="12" w:name="_Toc123112455"/>
      <w:bookmarkStart w:id="13" w:name="_Toc123207975"/>
      <w:r w:rsidRPr="00056689">
        <w:t>7.</w:t>
      </w:r>
      <w:r w:rsidR="0021079C" w:rsidRPr="00056689">
        <w:t>4</w:t>
      </w:r>
      <w:r w:rsidRPr="00056689">
        <w:t xml:space="preserve"> Recordkeeping Requirements</w:t>
      </w:r>
      <w:bookmarkEnd w:id="12"/>
      <w:bookmarkEnd w:id="13"/>
    </w:p>
    <w:p w14:paraId="4CAD8754" w14:textId="77777777" w:rsidR="005A559C" w:rsidRPr="00B67E4F" w:rsidRDefault="005A559C" w:rsidP="007D3FBF">
      <w:pPr>
        <w:pStyle w:val="Header"/>
        <w:tabs>
          <w:tab w:val="clear" w:pos="4320"/>
          <w:tab w:val="clear" w:pos="8640"/>
        </w:tabs>
        <w:rPr>
          <w:rFonts w:cs="Arial"/>
          <w:sz w:val="20"/>
          <w:szCs w:val="20"/>
        </w:rPr>
      </w:pPr>
    </w:p>
    <w:p w14:paraId="382D6F4B" w14:textId="58D57D1B" w:rsidR="00C267D0" w:rsidRPr="008451DD" w:rsidRDefault="00865564" w:rsidP="007D3FBF">
      <w:pPr>
        <w:pStyle w:val="1BODYArial11"/>
        <w:spacing w:line="240" w:lineRule="auto"/>
      </w:pPr>
      <w:r w:rsidRPr="004E746F">
        <w:t xml:space="preserve">To show </w:t>
      </w:r>
      <w:r w:rsidRPr="008451DD">
        <w:t>compliance with Davis</w:t>
      </w:r>
      <w:r w:rsidR="00F96E6B" w:rsidRPr="008451DD">
        <w:rPr>
          <w:lang w:val="en-US"/>
        </w:rPr>
        <w:t>-</w:t>
      </w:r>
      <w:r w:rsidRPr="008451DD">
        <w:t>Bacon regulations, t</w:t>
      </w:r>
      <w:r w:rsidR="005A559C" w:rsidRPr="008451DD">
        <w:t>he Grant Recipient must maintain a file with the following documentation for each construction contract:</w:t>
      </w:r>
      <w:r w:rsidR="00470AC6" w:rsidRPr="008451DD">
        <w:t xml:space="preserve"> </w:t>
      </w:r>
    </w:p>
    <w:p w14:paraId="112D5F36" w14:textId="3B9A9398" w:rsidR="00D50D69" w:rsidRPr="008451DD" w:rsidRDefault="00D50D69" w:rsidP="000E6120">
      <w:pPr>
        <w:pStyle w:val="1BODYArial11"/>
        <w:spacing w:line="240" w:lineRule="auto"/>
        <w:jc w:val="center"/>
      </w:pPr>
    </w:p>
    <w:tbl>
      <w:tblPr>
        <w:tblStyle w:val="TableGrid"/>
        <w:tblW w:w="9720" w:type="dxa"/>
        <w:tblInd w:w="-185" w:type="dxa"/>
        <w:tblLook w:val="04A0" w:firstRow="1" w:lastRow="0" w:firstColumn="1" w:lastColumn="0" w:noHBand="0" w:noVBand="1"/>
      </w:tblPr>
      <w:tblGrid>
        <w:gridCol w:w="5130"/>
        <w:gridCol w:w="4590"/>
      </w:tblGrid>
      <w:tr w:rsidR="008451DD" w:rsidRPr="008451DD" w14:paraId="7093FD0F" w14:textId="77777777" w:rsidTr="009C4B56">
        <w:tc>
          <w:tcPr>
            <w:tcW w:w="5130" w:type="dxa"/>
          </w:tcPr>
          <w:p w14:paraId="75652C3E" w14:textId="672E8FF0" w:rsidR="00D50D69" w:rsidRPr="008451DD" w:rsidRDefault="00D50D69" w:rsidP="000E6120">
            <w:pPr>
              <w:pStyle w:val="Box"/>
              <w:numPr>
                <w:ilvl w:val="0"/>
                <w:numId w:val="0"/>
              </w:numPr>
              <w:spacing w:after="0"/>
              <w:ind w:left="360" w:hanging="360"/>
              <w:jc w:val="center"/>
              <w:rPr>
                <w:rFonts w:cs="Arial"/>
                <w:b/>
                <w:bCs/>
                <w:szCs w:val="22"/>
              </w:rPr>
            </w:pPr>
            <w:r w:rsidRPr="008451DD">
              <w:rPr>
                <w:rFonts w:cs="Arial"/>
                <w:b/>
                <w:bCs/>
                <w:szCs w:val="22"/>
              </w:rPr>
              <w:t>Labor Standards Documentation</w:t>
            </w:r>
          </w:p>
        </w:tc>
        <w:tc>
          <w:tcPr>
            <w:tcW w:w="4590" w:type="dxa"/>
          </w:tcPr>
          <w:p w14:paraId="455F357E" w14:textId="3CACF038" w:rsidR="00D50D69" w:rsidRPr="008451DD" w:rsidRDefault="00D50D69" w:rsidP="000E6120">
            <w:pPr>
              <w:pStyle w:val="1BODYArial11"/>
              <w:spacing w:line="240" w:lineRule="auto"/>
              <w:jc w:val="center"/>
              <w:rPr>
                <w:b/>
                <w:bCs/>
                <w:lang w:val="en-US"/>
              </w:rPr>
            </w:pPr>
            <w:r w:rsidRPr="008451DD">
              <w:rPr>
                <w:b/>
                <w:bCs/>
                <w:lang w:val="en-US"/>
              </w:rPr>
              <w:t xml:space="preserve">TDA-GO </w:t>
            </w:r>
            <w:r w:rsidR="009C1057" w:rsidRPr="008451DD">
              <w:rPr>
                <w:b/>
                <w:bCs/>
                <w:lang w:val="en-US"/>
              </w:rPr>
              <w:t>Reporting</w:t>
            </w:r>
            <w:r w:rsidRPr="008451DD">
              <w:rPr>
                <w:b/>
                <w:bCs/>
                <w:lang w:val="en-US"/>
              </w:rPr>
              <w:t>, if required</w:t>
            </w:r>
          </w:p>
        </w:tc>
      </w:tr>
      <w:tr w:rsidR="008451DD" w:rsidRPr="008451DD" w14:paraId="1D0AD308" w14:textId="77777777" w:rsidTr="009C4B56">
        <w:tc>
          <w:tcPr>
            <w:tcW w:w="5130" w:type="dxa"/>
          </w:tcPr>
          <w:p w14:paraId="698EA39A" w14:textId="25096D0B" w:rsidR="00D50D69" w:rsidRPr="008451DD" w:rsidRDefault="00D50D69" w:rsidP="007D3FBF">
            <w:pPr>
              <w:pStyle w:val="Box"/>
              <w:numPr>
                <w:ilvl w:val="0"/>
                <w:numId w:val="0"/>
              </w:numPr>
              <w:spacing w:after="0"/>
              <w:ind w:left="360" w:hanging="360"/>
              <w:rPr>
                <w:rFonts w:cs="Arial"/>
                <w:szCs w:val="22"/>
              </w:rPr>
            </w:pPr>
            <w:r w:rsidRPr="008451DD">
              <w:rPr>
                <w:rFonts w:cs="Arial"/>
                <w:szCs w:val="22"/>
              </w:rPr>
              <w:t>Appointment of Labor Standards Officer</w:t>
            </w:r>
          </w:p>
        </w:tc>
        <w:tc>
          <w:tcPr>
            <w:tcW w:w="4590" w:type="dxa"/>
          </w:tcPr>
          <w:p w14:paraId="2027418F" w14:textId="2CB07618" w:rsidR="00D50D69" w:rsidRPr="008451DD" w:rsidRDefault="00D50D69" w:rsidP="007D3FBF">
            <w:pPr>
              <w:pStyle w:val="1BODYArial11"/>
              <w:spacing w:line="240" w:lineRule="auto"/>
              <w:jc w:val="left"/>
              <w:rPr>
                <w:lang w:val="en-US"/>
              </w:rPr>
            </w:pPr>
            <w:r w:rsidRPr="008451DD">
              <w:rPr>
                <w:i/>
                <w:iCs/>
                <w:lang w:val="en-US"/>
              </w:rPr>
              <w:t>Grant Overview</w:t>
            </w:r>
            <w:r w:rsidRPr="008451DD">
              <w:rPr>
                <w:lang w:val="en-US"/>
              </w:rPr>
              <w:t xml:space="preserve"> page</w:t>
            </w:r>
          </w:p>
        </w:tc>
      </w:tr>
      <w:tr w:rsidR="008451DD" w:rsidRPr="008451DD" w14:paraId="66F9437D" w14:textId="77777777" w:rsidTr="009C4B56">
        <w:tc>
          <w:tcPr>
            <w:tcW w:w="5130" w:type="dxa"/>
          </w:tcPr>
          <w:p w14:paraId="434EA9B4" w14:textId="482D1E46" w:rsidR="00D50D69" w:rsidRPr="008451DD" w:rsidRDefault="00D50D69" w:rsidP="007D3FBF">
            <w:pPr>
              <w:pStyle w:val="Box"/>
              <w:numPr>
                <w:ilvl w:val="0"/>
                <w:numId w:val="0"/>
              </w:numPr>
              <w:spacing w:after="0"/>
              <w:ind w:left="360" w:hanging="360"/>
              <w:rPr>
                <w:rFonts w:cs="Arial"/>
                <w:szCs w:val="22"/>
              </w:rPr>
            </w:pPr>
            <w:r w:rsidRPr="008451DD">
              <w:rPr>
                <w:rFonts w:cs="Arial"/>
                <w:szCs w:val="22"/>
              </w:rPr>
              <w:t>Copy of Wage Rate Issuance(s)</w:t>
            </w:r>
          </w:p>
        </w:tc>
        <w:tc>
          <w:tcPr>
            <w:tcW w:w="4590" w:type="dxa"/>
          </w:tcPr>
          <w:p w14:paraId="3BD14964" w14:textId="35E797F3" w:rsidR="00D50D69" w:rsidRPr="008451DD" w:rsidRDefault="009C4B56" w:rsidP="007D3FBF">
            <w:pPr>
              <w:pStyle w:val="1BODYArial11"/>
              <w:spacing w:line="240" w:lineRule="auto"/>
              <w:jc w:val="left"/>
              <w:rPr>
                <w:i/>
                <w:iCs/>
                <w:lang w:val="en-US"/>
              </w:rPr>
            </w:pPr>
            <w:r w:rsidRPr="008451DD">
              <w:rPr>
                <w:i/>
                <w:iCs/>
                <w:lang w:val="en-US"/>
              </w:rPr>
              <w:t>MSR</w:t>
            </w:r>
            <w:r w:rsidR="00D50D69" w:rsidRPr="008451DD">
              <w:rPr>
                <w:i/>
                <w:iCs/>
                <w:lang w:val="en-US"/>
              </w:rPr>
              <w:t xml:space="preserve"> – Labor Standards page</w:t>
            </w:r>
          </w:p>
        </w:tc>
      </w:tr>
      <w:tr w:rsidR="008451DD" w:rsidRPr="008451DD" w14:paraId="3E839B5E" w14:textId="77777777" w:rsidTr="009C4B56">
        <w:tc>
          <w:tcPr>
            <w:tcW w:w="5130" w:type="dxa"/>
          </w:tcPr>
          <w:p w14:paraId="039EFB2A" w14:textId="44FDD123" w:rsidR="00D50D69" w:rsidRPr="008451DD" w:rsidRDefault="00D50D69" w:rsidP="007D3FBF">
            <w:pPr>
              <w:pStyle w:val="1BODYArial11"/>
              <w:spacing w:line="240" w:lineRule="auto"/>
              <w:rPr>
                <w:lang w:val="en-US"/>
              </w:rPr>
            </w:pPr>
            <w:r w:rsidRPr="008451DD">
              <w:t xml:space="preserve">Ten Day Confirmation </w:t>
            </w:r>
            <w:r w:rsidRPr="008451DD">
              <w:rPr>
                <w:lang w:val="en-US"/>
              </w:rPr>
              <w:t>Date</w:t>
            </w:r>
          </w:p>
        </w:tc>
        <w:tc>
          <w:tcPr>
            <w:tcW w:w="4590" w:type="dxa"/>
          </w:tcPr>
          <w:p w14:paraId="05162B31" w14:textId="10BD1454" w:rsidR="00D50D69" w:rsidRPr="008451DD" w:rsidRDefault="009C4B56" w:rsidP="007D3FBF">
            <w:pPr>
              <w:pStyle w:val="1BODYArial11"/>
              <w:spacing w:line="240" w:lineRule="auto"/>
              <w:jc w:val="left"/>
              <w:rPr>
                <w:lang w:val="en-US"/>
              </w:rPr>
            </w:pPr>
            <w:r w:rsidRPr="008451DD">
              <w:rPr>
                <w:i/>
                <w:iCs/>
                <w:lang w:val="en-US"/>
              </w:rPr>
              <w:t xml:space="preserve">MSR </w:t>
            </w:r>
            <w:r w:rsidR="00D50D69" w:rsidRPr="008451DD">
              <w:rPr>
                <w:i/>
                <w:iCs/>
                <w:lang w:val="en-US"/>
              </w:rPr>
              <w:t>– Main page</w:t>
            </w:r>
          </w:p>
        </w:tc>
      </w:tr>
      <w:tr w:rsidR="008451DD" w:rsidRPr="008451DD" w14:paraId="61EC2853" w14:textId="77777777" w:rsidTr="009C4B56">
        <w:tc>
          <w:tcPr>
            <w:tcW w:w="5130" w:type="dxa"/>
          </w:tcPr>
          <w:p w14:paraId="67B21CA6" w14:textId="6D5C2DE9" w:rsidR="00D50D69" w:rsidRPr="008451DD" w:rsidRDefault="00D50D69" w:rsidP="007D3FBF">
            <w:pPr>
              <w:pStyle w:val="1BODYArial11"/>
              <w:spacing w:line="240" w:lineRule="auto"/>
              <w:rPr>
                <w:lang w:val="en-US"/>
              </w:rPr>
            </w:pPr>
            <w:r w:rsidRPr="008451DD">
              <w:rPr>
                <w:lang w:val="en-US"/>
              </w:rPr>
              <w:t xml:space="preserve">Documentation of </w:t>
            </w:r>
            <w:proofErr w:type="gramStart"/>
            <w:r w:rsidRPr="008451DD">
              <w:t>Ten Day</w:t>
            </w:r>
            <w:proofErr w:type="gramEnd"/>
            <w:r w:rsidRPr="008451DD">
              <w:t xml:space="preserve"> Confirmation</w:t>
            </w:r>
          </w:p>
        </w:tc>
        <w:tc>
          <w:tcPr>
            <w:tcW w:w="4590" w:type="dxa"/>
          </w:tcPr>
          <w:p w14:paraId="3701FA4D" w14:textId="7F1B2AAB" w:rsidR="00D50D69" w:rsidRPr="008451DD" w:rsidRDefault="00D50D69" w:rsidP="007D3FBF">
            <w:pPr>
              <w:pStyle w:val="1BODYArial11"/>
              <w:spacing w:line="240" w:lineRule="auto"/>
              <w:jc w:val="left"/>
              <w:rPr>
                <w:lang w:val="en-US"/>
              </w:rPr>
            </w:pPr>
            <w:r w:rsidRPr="008451DD">
              <w:rPr>
                <w:lang w:val="en-US"/>
              </w:rPr>
              <w:t>n/a</w:t>
            </w:r>
          </w:p>
        </w:tc>
      </w:tr>
      <w:tr w:rsidR="008451DD" w:rsidRPr="008451DD" w14:paraId="70CD3FE2" w14:textId="77777777" w:rsidTr="009C4B56">
        <w:tc>
          <w:tcPr>
            <w:tcW w:w="5130" w:type="dxa"/>
          </w:tcPr>
          <w:p w14:paraId="2DB63CDB" w14:textId="23C1BA23" w:rsidR="00D50D69" w:rsidRPr="008451DD" w:rsidRDefault="00D50D69" w:rsidP="007D3FBF">
            <w:pPr>
              <w:pStyle w:val="1BODYArial11"/>
              <w:spacing w:line="240" w:lineRule="auto"/>
              <w:rPr>
                <w:lang w:val="en-US"/>
              </w:rPr>
            </w:pPr>
            <w:r w:rsidRPr="008451DD">
              <w:t>Additional Classification request(s)</w:t>
            </w:r>
          </w:p>
        </w:tc>
        <w:tc>
          <w:tcPr>
            <w:tcW w:w="4590" w:type="dxa"/>
          </w:tcPr>
          <w:p w14:paraId="43495EF9" w14:textId="6011912C" w:rsidR="00D50D69" w:rsidRPr="008451DD" w:rsidRDefault="00D50D69" w:rsidP="007D3FBF">
            <w:pPr>
              <w:pStyle w:val="1BODYArial11"/>
              <w:spacing w:line="240" w:lineRule="auto"/>
              <w:jc w:val="left"/>
              <w:rPr>
                <w:lang w:val="en-US"/>
              </w:rPr>
            </w:pPr>
            <w:r w:rsidRPr="008451DD">
              <w:rPr>
                <w:lang w:val="en-US"/>
              </w:rPr>
              <w:t xml:space="preserve">Email to </w:t>
            </w:r>
            <w:hyperlink r:id="rId11" w:history="1">
              <w:r w:rsidRPr="008451DD">
                <w:rPr>
                  <w:rStyle w:val="Hyperlink"/>
                  <w:b w:val="0"/>
                  <w:bCs w:val="0"/>
                  <w:color w:val="auto"/>
                  <w:u w:val="none"/>
                  <w:lang w:val="en-US"/>
                </w:rPr>
                <w:t>Labors@TexasAgriculture.gov</w:t>
              </w:r>
            </w:hyperlink>
            <w:r w:rsidRPr="008451DD">
              <w:rPr>
                <w:lang w:val="en-US"/>
              </w:rPr>
              <w:t xml:space="preserve"> – once approved, TDA staff will record on </w:t>
            </w:r>
            <w:r w:rsidR="009C4B56" w:rsidRPr="008451DD">
              <w:rPr>
                <w:i/>
                <w:iCs/>
                <w:lang w:val="en-US"/>
              </w:rPr>
              <w:t xml:space="preserve">MSR </w:t>
            </w:r>
            <w:r w:rsidRPr="008451DD">
              <w:rPr>
                <w:i/>
                <w:iCs/>
                <w:lang w:val="en-US"/>
              </w:rPr>
              <w:t>– Labor Standards page</w:t>
            </w:r>
          </w:p>
        </w:tc>
      </w:tr>
      <w:tr w:rsidR="008451DD" w:rsidRPr="008451DD" w14:paraId="0421D84D" w14:textId="77777777" w:rsidTr="009C4B56">
        <w:tc>
          <w:tcPr>
            <w:tcW w:w="5130" w:type="dxa"/>
          </w:tcPr>
          <w:p w14:paraId="3CA40459" w14:textId="4D8657AA" w:rsidR="00D50D69" w:rsidRPr="008451DD" w:rsidRDefault="00D50D69" w:rsidP="007D3FBF">
            <w:pPr>
              <w:pStyle w:val="1BODYArial11"/>
              <w:spacing w:line="240" w:lineRule="auto"/>
            </w:pPr>
            <w:r w:rsidRPr="008451DD">
              <w:t>Contractor Eligibility Verification printouts from SAM for each prime and/or subcontractor</w:t>
            </w:r>
          </w:p>
        </w:tc>
        <w:tc>
          <w:tcPr>
            <w:tcW w:w="4590" w:type="dxa"/>
          </w:tcPr>
          <w:p w14:paraId="7B4794BC" w14:textId="5112CCB7" w:rsidR="00D50D69" w:rsidRPr="008451DD" w:rsidRDefault="00D50D69" w:rsidP="007D3FBF">
            <w:pPr>
              <w:pStyle w:val="1BODYArial11"/>
              <w:spacing w:line="240" w:lineRule="auto"/>
              <w:jc w:val="left"/>
              <w:rPr>
                <w:lang w:val="en-US"/>
              </w:rPr>
            </w:pPr>
            <w:r w:rsidRPr="008451DD">
              <w:rPr>
                <w:lang w:val="en-US"/>
              </w:rPr>
              <w:t>n/a</w:t>
            </w:r>
          </w:p>
        </w:tc>
      </w:tr>
      <w:tr w:rsidR="008451DD" w:rsidRPr="008451DD" w14:paraId="7B7BDE98" w14:textId="77777777" w:rsidTr="009C4B56">
        <w:tc>
          <w:tcPr>
            <w:tcW w:w="5130" w:type="dxa"/>
          </w:tcPr>
          <w:p w14:paraId="63EF260B" w14:textId="2B4ACC1E" w:rsidR="00D50D69" w:rsidRPr="008451DD" w:rsidRDefault="00D50D69" w:rsidP="007D3FBF">
            <w:pPr>
              <w:pStyle w:val="Box"/>
              <w:numPr>
                <w:ilvl w:val="0"/>
                <w:numId w:val="0"/>
              </w:numPr>
              <w:spacing w:after="0"/>
              <w:rPr>
                <w:rFonts w:cs="Arial"/>
                <w:szCs w:val="22"/>
              </w:rPr>
            </w:pPr>
            <w:r w:rsidRPr="008451DD">
              <w:rPr>
                <w:rFonts w:cs="Arial"/>
                <w:szCs w:val="22"/>
              </w:rPr>
              <w:t>Pre-construction conference minutes and sign-in sheet(s)</w:t>
            </w:r>
          </w:p>
        </w:tc>
        <w:tc>
          <w:tcPr>
            <w:tcW w:w="4590" w:type="dxa"/>
          </w:tcPr>
          <w:p w14:paraId="689371A6" w14:textId="4789405B" w:rsidR="00D50D69" w:rsidRPr="008451DD" w:rsidRDefault="00D50D69" w:rsidP="007D3FBF">
            <w:pPr>
              <w:pStyle w:val="1BODYArial11"/>
              <w:spacing w:line="240" w:lineRule="auto"/>
              <w:jc w:val="left"/>
              <w:rPr>
                <w:lang w:val="en-US"/>
              </w:rPr>
            </w:pPr>
            <w:r w:rsidRPr="008451DD">
              <w:rPr>
                <w:lang w:val="en-US"/>
              </w:rPr>
              <w:t>n/a</w:t>
            </w:r>
          </w:p>
        </w:tc>
      </w:tr>
      <w:tr w:rsidR="008451DD" w:rsidRPr="008451DD" w14:paraId="00FDE387" w14:textId="77777777" w:rsidTr="009C4B56">
        <w:tc>
          <w:tcPr>
            <w:tcW w:w="5130" w:type="dxa"/>
          </w:tcPr>
          <w:p w14:paraId="3770A0CE" w14:textId="31A16D59" w:rsidR="00D50D69" w:rsidRPr="008451DD" w:rsidRDefault="00D50D69" w:rsidP="007D3FBF">
            <w:pPr>
              <w:pStyle w:val="Box"/>
              <w:numPr>
                <w:ilvl w:val="0"/>
                <w:numId w:val="0"/>
              </w:numPr>
              <w:spacing w:after="0"/>
              <w:rPr>
                <w:rFonts w:cs="Arial"/>
                <w:szCs w:val="22"/>
              </w:rPr>
            </w:pPr>
            <w:r w:rsidRPr="008451DD">
              <w:rPr>
                <w:rFonts w:cs="Arial"/>
                <w:szCs w:val="22"/>
              </w:rPr>
              <w:t>Payrolls, with evidence of compliance review</w:t>
            </w:r>
          </w:p>
        </w:tc>
        <w:tc>
          <w:tcPr>
            <w:tcW w:w="4590" w:type="dxa"/>
          </w:tcPr>
          <w:p w14:paraId="76D5BE99" w14:textId="4EE1EC25" w:rsidR="00D50D69" w:rsidRPr="008451DD" w:rsidRDefault="00D50D69" w:rsidP="007D3FBF">
            <w:pPr>
              <w:pStyle w:val="1BODYArial11"/>
              <w:spacing w:line="240" w:lineRule="auto"/>
              <w:jc w:val="left"/>
              <w:rPr>
                <w:lang w:val="en-US"/>
              </w:rPr>
            </w:pPr>
            <w:r w:rsidRPr="008451DD">
              <w:rPr>
                <w:lang w:val="en-US"/>
              </w:rPr>
              <w:t>n/a</w:t>
            </w:r>
          </w:p>
        </w:tc>
      </w:tr>
      <w:tr w:rsidR="008451DD" w:rsidRPr="008451DD" w14:paraId="58D97F53" w14:textId="77777777" w:rsidTr="009C4B56">
        <w:tc>
          <w:tcPr>
            <w:tcW w:w="5130" w:type="dxa"/>
          </w:tcPr>
          <w:p w14:paraId="4D30553A" w14:textId="1FF03D96" w:rsidR="00D50D69" w:rsidRPr="008451DD" w:rsidRDefault="00D50D69" w:rsidP="007D3FBF">
            <w:pPr>
              <w:pStyle w:val="Box"/>
              <w:numPr>
                <w:ilvl w:val="0"/>
                <w:numId w:val="0"/>
              </w:numPr>
              <w:spacing w:after="0"/>
              <w:ind w:left="360" w:hanging="360"/>
              <w:rPr>
                <w:rFonts w:cs="Arial"/>
                <w:szCs w:val="22"/>
              </w:rPr>
            </w:pPr>
            <w:r w:rsidRPr="008451DD">
              <w:rPr>
                <w:rFonts w:cs="Arial"/>
                <w:szCs w:val="22"/>
              </w:rPr>
              <w:t>Employee interviews</w:t>
            </w:r>
          </w:p>
        </w:tc>
        <w:tc>
          <w:tcPr>
            <w:tcW w:w="4590" w:type="dxa"/>
          </w:tcPr>
          <w:p w14:paraId="52426996" w14:textId="29B2E2DC" w:rsidR="00D50D69" w:rsidRPr="008451DD" w:rsidRDefault="00D50D69" w:rsidP="007D3FBF">
            <w:pPr>
              <w:pStyle w:val="1BODYArial11"/>
              <w:spacing w:line="240" w:lineRule="auto"/>
              <w:jc w:val="left"/>
              <w:rPr>
                <w:lang w:val="en-US"/>
              </w:rPr>
            </w:pPr>
            <w:r w:rsidRPr="008451DD">
              <w:rPr>
                <w:lang w:val="en-US"/>
              </w:rPr>
              <w:t>n/a</w:t>
            </w:r>
          </w:p>
        </w:tc>
      </w:tr>
      <w:tr w:rsidR="008451DD" w:rsidRPr="008451DD" w14:paraId="28435C3F" w14:textId="77777777" w:rsidTr="009C4B56">
        <w:tc>
          <w:tcPr>
            <w:tcW w:w="5130" w:type="dxa"/>
          </w:tcPr>
          <w:p w14:paraId="40961BB9" w14:textId="27C6EF09" w:rsidR="00D50D69" w:rsidRPr="008451DD" w:rsidRDefault="00D50D69" w:rsidP="007D3FBF">
            <w:pPr>
              <w:pStyle w:val="Box"/>
              <w:numPr>
                <w:ilvl w:val="0"/>
                <w:numId w:val="0"/>
              </w:numPr>
              <w:spacing w:after="0"/>
              <w:rPr>
                <w:rFonts w:cs="Arial"/>
                <w:szCs w:val="22"/>
              </w:rPr>
            </w:pPr>
            <w:r w:rsidRPr="008451DD">
              <w:rPr>
                <w:rFonts w:cs="Arial"/>
                <w:szCs w:val="22"/>
              </w:rPr>
              <w:t>Wage violations (amount of restitution, number of hours and days)</w:t>
            </w:r>
          </w:p>
        </w:tc>
        <w:tc>
          <w:tcPr>
            <w:tcW w:w="4590" w:type="dxa"/>
          </w:tcPr>
          <w:p w14:paraId="59B24D11" w14:textId="1CFB29FD" w:rsidR="00D50D69" w:rsidRPr="008451DD" w:rsidRDefault="009C4B56" w:rsidP="007D3FBF">
            <w:pPr>
              <w:pStyle w:val="1BODYArial11"/>
              <w:spacing w:line="240" w:lineRule="auto"/>
              <w:jc w:val="left"/>
              <w:rPr>
                <w:lang w:val="en-US"/>
              </w:rPr>
            </w:pPr>
            <w:r w:rsidRPr="008451DD">
              <w:rPr>
                <w:i/>
                <w:iCs/>
                <w:lang w:val="en-US"/>
              </w:rPr>
              <w:t xml:space="preserve">MSR </w:t>
            </w:r>
            <w:r w:rsidR="00D50D69" w:rsidRPr="008451DD">
              <w:rPr>
                <w:i/>
                <w:iCs/>
                <w:lang w:val="en-US"/>
              </w:rPr>
              <w:t>– Final Wage Compliance Report page</w:t>
            </w:r>
          </w:p>
        </w:tc>
      </w:tr>
      <w:tr w:rsidR="008451DD" w:rsidRPr="008451DD" w14:paraId="5DD419EB" w14:textId="77777777" w:rsidTr="009C4B56">
        <w:tc>
          <w:tcPr>
            <w:tcW w:w="5130" w:type="dxa"/>
          </w:tcPr>
          <w:p w14:paraId="0A17572C" w14:textId="1D235A2A" w:rsidR="00D50D69" w:rsidRPr="008451DD" w:rsidRDefault="00D50D69" w:rsidP="007D3FBF">
            <w:pPr>
              <w:pStyle w:val="Box"/>
              <w:numPr>
                <w:ilvl w:val="0"/>
                <w:numId w:val="0"/>
              </w:numPr>
              <w:spacing w:after="0"/>
              <w:rPr>
                <w:rFonts w:cs="Arial"/>
                <w:szCs w:val="22"/>
              </w:rPr>
            </w:pPr>
            <w:r w:rsidRPr="008451DD">
              <w:rPr>
                <w:rFonts w:cs="Arial"/>
                <w:szCs w:val="22"/>
              </w:rPr>
              <w:t>Interim inspection reports</w:t>
            </w:r>
          </w:p>
        </w:tc>
        <w:tc>
          <w:tcPr>
            <w:tcW w:w="4590" w:type="dxa"/>
          </w:tcPr>
          <w:p w14:paraId="3C77DFDE" w14:textId="3EC2B674" w:rsidR="00D50D69" w:rsidRPr="008451DD" w:rsidRDefault="009C4B56" w:rsidP="007D3FBF">
            <w:pPr>
              <w:pStyle w:val="1BODYArial11"/>
              <w:spacing w:line="240" w:lineRule="auto"/>
              <w:jc w:val="left"/>
              <w:rPr>
                <w:i/>
                <w:iCs/>
                <w:lang w:val="en-US"/>
              </w:rPr>
            </w:pPr>
            <w:r w:rsidRPr="008451DD">
              <w:rPr>
                <w:i/>
                <w:iCs/>
                <w:lang w:val="en-US"/>
              </w:rPr>
              <w:t>n/a</w:t>
            </w:r>
          </w:p>
        </w:tc>
      </w:tr>
      <w:tr w:rsidR="008451DD" w:rsidRPr="008451DD" w14:paraId="6B537014" w14:textId="77777777" w:rsidTr="009C4B56">
        <w:tc>
          <w:tcPr>
            <w:tcW w:w="5130" w:type="dxa"/>
          </w:tcPr>
          <w:p w14:paraId="57A52A2C" w14:textId="34ABB231" w:rsidR="00D50D69" w:rsidRPr="008451DD" w:rsidRDefault="00D50D69" w:rsidP="007D3FBF">
            <w:pPr>
              <w:pStyle w:val="Box"/>
              <w:numPr>
                <w:ilvl w:val="0"/>
                <w:numId w:val="0"/>
              </w:numPr>
              <w:spacing w:after="0"/>
              <w:rPr>
                <w:rFonts w:cs="Arial"/>
                <w:szCs w:val="22"/>
              </w:rPr>
            </w:pPr>
            <w:r w:rsidRPr="008451DD">
              <w:rPr>
                <w:rFonts w:cs="Arial"/>
                <w:szCs w:val="22"/>
              </w:rPr>
              <w:t>Certificate(s) of Construction Completion (COCC)</w:t>
            </w:r>
          </w:p>
        </w:tc>
        <w:tc>
          <w:tcPr>
            <w:tcW w:w="4590" w:type="dxa"/>
          </w:tcPr>
          <w:p w14:paraId="764FB804" w14:textId="4A2A2940" w:rsidR="00D50D69" w:rsidRPr="008451DD" w:rsidRDefault="009C4B56" w:rsidP="007D3FBF">
            <w:pPr>
              <w:pStyle w:val="1BODYArial11"/>
              <w:spacing w:line="240" w:lineRule="auto"/>
              <w:jc w:val="left"/>
              <w:rPr>
                <w:i/>
                <w:iCs/>
                <w:lang w:val="en-US"/>
              </w:rPr>
            </w:pPr>
            <w:r w:rsidRPr="008451DD">
              <w:rPr>
                <w:i/>
                <w:iCs/>
                <w:lang w:val="en-US"/>
              </w:rPr>
              <w:t xml:space="preserve">MSR </w:t>
            </w:r>
            <w:r w:rsidR="00D50D69" w:rsidRPr="008451DD">
              <w:rPr>
                <w:i/>
                <w:iCs/>
                <w:lang w:val="en-US"/>
              </w:rPr>
              <w:t>– Work Completed page</w:t>
            </w:r>
          </w:p>
        </w:tc>
      </w:tr>
    </w:tbl>
    <w:p w14:paraId="1233B666" w14:textId="77777777" w:rsidR="00550E2E" w:rsidRPr="008451DD" w:rsidRDefault="00550E2E" w:rsidP="007D3FBF"/>
    <w:p w14:paraId="64E92039" w14:textId="77777777" w:rsidR="00F55539" w:rsidRPr="008451DD" w:rsidRDefault="00F55539" w:rsidP="007D3FBF"/>
    <w:p w14:paraId="5E861B3F" w14:textId="77777777" w:rsidR="007D1AFA" w:rsidRPr="008451DD" w:rsidRDefault="00F12537" w:rsidP="007D3FBF">
      <w:pPr>
        <w:pStyle w:val="Heading1"/>
      </w:pPr>
      <w:bookmarkStart w:id="14" w:name="_Toc123112456"/>
      <w:bookmarkStart w:id="15" w:name="_Toc123207976"/>
      <w:r w:rsidRPr="008451DD">
        <w:t>7</w:t>
      </w:r>
      <w:r w:rsidR="005A559C" w:rsidRPr="008451DD">
        <w:t>.</w:t>
      </w:r>
      <w:r w:rsidR="0021079C" w:rsidRPr="008451DD">
        <w:t>5</w:t>
      </w:r>
      <w:r w:rsidR="005A559C" w:rsidRPr="008451DD">
        <w:t xml:space="preserve"> Laws </w:t>
      </w:r>
      <w:r w:rsidR="007D4BE8" w:rsidRPr="008451DD">
        <w:t>and</w:t>
      </w:r>
      <w:r w:rsidR="005A559C" w:rsidRPr="008451DD">
        <w:t xml:space="preserve"> Regulations</w:t>
      </w:r>
      <w:bookmarkEnd w:id="14"/>
      <w:bookmarkEnd w:id="15"/>
      <w:r w:rsidR="002A0F54" w:rsidRPr="008451DD">
        <w:t xml:space="preserve"> </w:t>
      </w:r>
    </w:p>
    <w:p w14:paraId="59D03958" w14:textId="77777777" w:rsidR="00E12FB0" w:rsidRPr="008451DD" w:rsidRDefault="00E12FB0" w:rsidP="007D3FBF"/>
    <w:p w14:paraId="2434CFAB" w14:textId="77777777" w:rsidR="005A559C" w:rsidRPr="008451DD" w:rsidRDefault="005A559C" w:rsidP="007D3FBF">
      <w:pPr>
        <w:pStyle w:val="4BoldArial14"/>
      </w:pPr>
      <w:bookmarkStart w:id="16" w:name="_Toc123112457"/>
      <w:bookmarkStart w:id="17" w:name="_Toc123207977"/>
      <w:r w:rsidRPr="008451DD">
        <w:t>7.</w:t>
      </w:r>
      <w:r w:rsidR="0021079C" w:rsidRPr="008451DD">
        <w:t>5</w:t>
      </w:r>
      <w:r w:rsidRPr="008451DD">
        <w:t>.1 Laws Regarding Labor Standards</w:t>
      </w:r>
      <w:bookmarkEnd w:id="16"/>
      <w:bookmarkEnd w:id="17"/>
    </w:p>
    <w:p w14:paraId="190F9FC7" w14:textId="77777777" w:rsidR="005A559C" w:rsidRPr="008451DD" w:rsidRDefault="005A559C" w:rsidP="007D3FBF">
      <w:pPr>
        <w:jc w:val="both"/>
        <w:rPr>
          <w:rFonts w:cs="Arial"/>
          <w:szCs w:val="22"/>
        </w:rPr>
      </w:pPr>
    </w:p>
    <w:p w14:paraId="077141CE" w14:textId="351C0B20" w:rsidR="005A559C" w:rsidRPr="008451DD" w:rsidRDefault="002E6468" w:rsidP="007D3FBF">
      <w:pPr>
        <w:pStyle w:val="3BOLDArial11"/>
        <w:spacing w:line="240" w:lineRule="auto"/>
        <w:jc w:val="left"/>
        <w:rPr>
          <w:b w:val="0"/>
          <w:bCs/>
        </w:rPr>
      </w:pPr>
      <w:r w:rsidRPr="008451DD">
        <w:rPr>
          <w:b w:val="0"/>
          <w:bCs/>
        </w:rPr>
        <w:t>Davis-Bacon Act</w:t>
      </w:r>
      <w:r w:rsidR="00C267D0" w:rsidRPr="008451DD">
        <w:rPr>
          <w:b w:val="0"/>
          <w:bCs/>
        </w:rPr>
        <w:t xml:space="preserve"> (40 USC </w:t>
      </w:r>
      <w:r w:rsidR="00C267D0" w:rsidRPr="008451DD">
        <w:rPr>
          <w:b w:val="0"/>
          <w:bCs/>
          <w:i/>
          <w:iCs/>
        </w:rPr>
        <w:t>Chapter 31</w:t>
      </w:r>
      <w:r w:rsidR="00F701B7" w:rsidRPr="008451DD">
        <w:rPr>
          <w:b w:val="0"/>
          <w:bCs/>
        </w:rPr>
        <w:t>, Subchapter IV</w:t>
      </w:r>
      <w:r w:rsidR="00C267D0" w:rsidRPr="008451DD">
        <w:rPr>
          <w:b w:val="0"/>
          <w:bCs/>
        </w:rPr>
        <w:t>)</w:t>
      </w:r>
    </w:p>
    <w:p w14:paraId="64E6A8B7" w14:textId="39537BBB" w:rsidR="005A559C" w:rsidRPr="008451DD" w:rsidRDefault="002E6468" w:rsidP="007D3FBF">
      <w:pPr>
        <w:pStyle w:val="3BOLDArial11"/>
        <w:spacing w:line="240" w:lineRule="auto"/>
        <w:jc w:val="left"/>
        <w:rPr>
          <w:b w:val="0"/>
          <w:bCs/>
        </w:rPr>
      </w:pPr>
      <w:r w:rsidRPr="008451DD">
        <w:rPr>
          <w:b w:val="0"/>
          <w:bCs/>
        </w:rPr>
        <w:t xml:space="preserve">Contract Work Hours and Safety Standards Act </w:t>
      </w:r>
      <w:r w:rsidR="00865564" w:rsidRPr="008451DD">
        <w:rPr>
          <w:b w:val="0"/>
          <w:bCs/>
        </w:rPr>
        <w:t>(CWHSSA)</w:t>
      </w:r>
    </w:p>
    <w:p w14:paraId="52C9BD36" w14:textId="4CD53D0E" w:rsidR="005A559C" w:rsidRPr="008451DD" w:rsidRDefault="002E6468" w:rsidP="007D3FBF">
      <w:pPr>
        <w:pStyle w:val="3BOLDArial11"/>
        <w:spacing w:line="240" w:lineRule="auto"/>
        <w:jc w:val="left"/>
        <w:rPr>
          <w:b w:val="0"/>
          <w:bCs/>
        </w:rPr>
      </w:pPr>
      <w:r w:rsidRPr="008451DD">
        <w:rPr>
          <w:b w:val="0"/>
          <w:bCs/>
        </w:rPr>
        <w:t xml:space="preserve">Copeland (Anti-Kickback) Act </w:t>
      </w:r>
      <w:r w:rsidR="00C267D0" w:rsidRPr="008451DD">
        <w:rPr>
          <w:b w:val="0"/>
          <w:bCs/>
        </w:rPr>
        <w:t>(18 USC 874; 40 USC 3145)</w:t>
      </w:r>
    </w:p>
    <w:p w14:paraId="206CB13D" w14:textId="1E3E7A1D" w:rsidR="005A559C" w:rsidRPr="008451DD" w:rsidRDefault="002E6468" w:rsidP="007D3FBF">
      <w:pPr>
        <w:pStyle w:val="3BOLDArial11"/>
        <w:spacing w:line="240" w:lineRule="auto"/>
        <w:jc w:val="left"/>
        <w:rPr>
          <w:b w:val="0"/>
          <w:bCs/>
        </w:rPr>
      </w:pPr>
      <w:r w:rsidRPr="008451DD">
        <w:rPr>
          <w:b w:val="0"/>
          <w:bCs/>
        </w:rPr>
        <w:t>Fair Labor Standards Act</w:t>
      </w:r>
    </w:p>
    <w:p w14:paraId="0605E588" w14:textId="5D1AF894" w:rsidR="005530BE" w:rsidRPr="001F7AD8" w:rsidRDefault="002E6468" w:rsidP="007D3FBF">
      <w:pPr>
        <w:pStyle w:val="3BOLDArial11"/>
        <w:spacing w:line="240" w:lineRule="auto"/>
        <w:jc w:val="left"/>
        <w:rPr>
          <w:b w:val="0"/>
          <w:bCs/>
        </w:rPr>
      </w:pPr>
      <w:r>
        <w:rPr>
          <w:b w:val="0"/>
          <w:bCs/>
        </w:rPr>
        <w:t>Housing and Community Development Act</w:t>
      </w:r>
      <w:r w:rsidR="005530BE">
        <w:rPr>
          <w:b w:val="0"/>
          <w:bCs/>
        </w:rPr>
        <w:t xml:space="preserve"> </w:t>
      </w:r>
      <w:r w:rsidR="005D3769">
        <w:rPr>
          <w:b w:val="0"/>
          <w:bCs/>
        </w:rPr>
        <w:t>(</w:t>
      </w:r>
      <w:r w:rsidR="005530BE">
        <w:rPr>
          <w:b w:val="0"/>
          <w:bCs/>
        </w:rPr>
        <w:t>Section 110</w:t>
      </w:r>
      <w:r w:rsidR="005D3769">
        <w:rPr>
          <w:b w:val="0"/>
          <w:bCs/>
        </w:rPr>
        <w:t>)</w:t>
      </w:r>
    </w:p>
    <w:p w14:paraId="4D4A52E1" w14:textId="77777777" w:rsidR="006C3947" w:rsidRPr="00B67E4F" w:rsidRDefault="006C3947" w:rsidP="007D3FBF"/>
    <w:p w14:paraId="375A5CA1" w14:textId="77777777" w:rsidR="005A559C" w:rsidRPr="00B67E4F" w:rsidRDefault="005A559C" w:rsidP="007D3FBF">
      <w:pPr>
        <w:pStyle w:val="4BoldArial14"/>
      </w:pPr>
      <w:bookmarkStart w:id="18" w:name="_Toc123112458"/>
      <w:bookmarkStart w:id="19" w:name="_Toc123207978"/>
      <w:r w:rsidRPr="00B67E4F">
        <w:t>7.</w:t>
      </w:r>
      <w:r w:rsidR="0021079C">
        <w:t>5</w:t>
      </w:r>
      <w:r w:rsidR="00266102">
        <w:t>.2 Davis-Bacon</w:t>
      </w:r>
      <w:r w:rsidRPr="00B67E4F">
        <w:t xml:space="preserve"> R</w:t>
      </w:r>
      <w:r w:rsidR="00266102">
        <w:t>egulations</w:t>
      </w:r>
      <w:bookmarkEnd w:id="18"/>
      <w:bookmarkEnd w:id="19"/>
      <w:r w:rsidRPr="00B67E4F">
        <w:t xml:space="preserve"> </w:t>
      </w:r>
    </w:p>
    <w:p w14:paraId="20A04CA1" w14:textId="77777777" w:rsidR="00E90DA5" w:rsidRDefault="00E90DA5" w:rsidP="007D3FBF">
      <w:pPr>
        <w:pStyle w:val="1BODYArial11"/>
        <w:spacing w:line="240" w:lineRule="auto"/>
      </w:pPr>
    </w:p>
    <w:p w14:paraId="40A8828C" w14:textId="502B94B6" w:rsidR="005A559C" w:rsidRDefault="005A559C" w:rsidP="007D3FBF">
      <w:pPr>
        <w:pStyle w:val="1BODYArial11"/>
        <w:spacing w:line="240" w:lineRule="auto"/>
      </w:pPr>
      <w:r w:rsidRPr="00550E2E">
        <w:t xml:space="preserve">The Department of Labor has published rules and instructions concerning Davis-Bacon and other labor laws in the Code of Federal Regulations </w:t>
      </w:r>
      <w:r w:rsidR="00006B46" w:rsidRPr="00550E2E">
        <w:t xml:space="preserve">29 CFR Parts </w:t>
      </w:r>
      <w:r w:rsidRPr="00550E2E">
        <w:t>1</w:t>
      </w:r>
      <w:r w:rsidR="00006B46" w:rsidRPr="00550E2E">
        <w:t>, 3, 5, 6 and 7</w:t>
      </w:r>
      <w:r w:rsidR="007D1AFA" w:rsidRPr="00550E2E">
        <w:t>.</w:t>
      </w:r>
    </w:p>
    <w:p w14:paraId="568AE2D7" w14:textId="77777777" w:rsidR="00307C40" w:rsidRDefault="00307C40" w:rsidP="007D3FBF">
      <w:pPr>
        <w:pStyle w:val="1BODYArial11"/>
        <w:spacing w:line="240" w:lineRule="auto"/>
      </w:pPr>
    </w:p>
    <w:p w14:paraId="279108AB" w14:textId="318E9CE2" w:rsidR="002A292D" w:rsidRDefault="002A292D" w:rsidP="007D3FBF">
      <w:pPr>
        <w:pStyle w:val="4ArialBold14"/>
      </w:pPr>
      <w:bookmarkStart w:id="20" w:name="_Toc123112459"/>
      <w:bookmarkStart w:id="21" w:name="_Toc123207979"/>
      <w:r>
        <w:t>Resources</w:t>
      </w:r>
      <w:bookmarkEnd w:id="20"/>
      <w:bookmarkEnd w:id="21"/>
    </w:p>
    <w:p w14:paraId="0206474A" w14:textId="77777777" w:rsidR="002A292D" w:rsidRDefault="002A292D" w:rsidP="007D3FBF"/>
    <w:tbl>
      <w:tblPr>
        <w:tblStyle w:val="TableGrid"/>
        <w:tblW w:w="0" w:type="auto"/>
        <w:tblLayout w:type="fixed"/>
        <w:tblLook w:val="04A0" w:firstRow="1" w:lastRow="0" w:firstColumn="1" w:lastColumn="0" w:noHBand="0" w:noVBand="1"/>
      </w:tblPr>
      <w:tblGrid>
        <w:gridCol w:w="1525"/>
        <w:gridCol w:w="3060"/>
        <w:gridCol w:w="5341"/>
      </w:tblGrid>
      <w:tr w:rsidR="002A292D" w:rsidRPr="00307C40" w14:paraId="6E7B3B77" w14:textId="77777777" w:rsidTr="006B1C6D">
        <w:tc>
          <w:tcPr>
            <w:tcW w:w="1525" w:type="dxa"/>
            <w:tcBorders>
              <w:top w:val="single" w:sz="4" w:space="0" w:color="auto"/>
              <w:left w:val="single" w:sz="4" w:space="0" w:color="auto"/>
              <w:bottom w:val="single" w:sz="4" w:space="0" w:color="auto"/>
              <w:right w:val="single" w:sz="4" w:space="0" w:color="auto"/>
            </w:tcBorders>
            <w:hideMark/>
          </w:tcPr>
          <w:p w14:paraId="45E99A14" w14:textId="77777777" w:rsidR="002A292D" w:rsidRPr="00307C40" w:rsidRDefault="002A292D" w:rsidP="00F134FB">
            <w:pPr>
              <w:pStyle w:val="1BODY-Arial11"/>
              <w:rPr>
                <w:sz w:val="20"/>
                <w:szCs w:val="20"/>
              </w:rPr>
            </w:pPr>
            <w:r w:rsidRPr="00307C40">
              <w:rPr>
                <w:sz w:val="20"/>
                <w:szCs w:val="20"/>
              </w:rPr>
              <w:t>Resource Number</w:t>
            </w:r>
          </w:p>
        </w:tc>
        <w:tc>
          <w:tcPr>
            <w:tcW w:w="3060" w:type="dxa"/>
            <w:tcBorders>
              <w:top w:val="single" w:sz="4" w:space="0" w:color="auto"/>
              <w:left w:val="single" w:sz="4" w:space="0" w:color="auto"/>
              <w:bottom w:val="single" w:sz="4" w:space="0" w:color="auto"/>
              <w:right w:val="single" w:sz="4" w:space="0" w:color="auto"/>
            </w:tcBorders>
            <w:hideMark/>
          </w:tcPr>
          <w:p w14:paraId="2DC8D3F3" w14:textId="77777777" w:rsidR="002A292D" w:rsidRPr="00307C40" w:rsidRDefault="002A292D" w:rsidP="00F134FB">
            <w:pPr>
              <w:pStyle w:val="1BODY-Arial11"/>
              <w:rPr>
                <w:sz w:val="20"/>
                <w:szCs w:val="20"/>
              </w:rPr>
            </w:pPr>
            <w:r w:rsidRPr="00307C40">
              <w:rPr>
                <w:sz w:val="20"/>
                <w:szCs w:val="20"/>
              </w:rPr>
              <w:t>Description</w:t>
            </w:r>
          </w:p>
        </w:tc>
        <w:tc>
          <w:tcPr>
            <w:tcW w:w="5341" w:type="dxa"/>
            <w:tcBorders>
              <w:top w:val="single" w:sz="4" w:space="0" w:color="auto"/>
              <w:left w:val="single" w:sz="4" w:space="0" w:color="auto"/>
              <w:bottom w:val="single" w:sz="4" w:space="0" w:color="auto"/>
              <w:right w:val="single" w:sz="4" w:space="0" w:color="auto"/>
            </w:tcBorders>
            <w:hideMark/>
          </w:tcPr>
          <w:p w14:paraId="0C77E43A" w14:textId="77777777" w:rsidR="002A292D" w:rsidRPr="00307C40" w:rsidRDefault="002A292D" w:rsidP="00F134FB">
            <w:pPr>
              <w:pStyle w:val="1BODY-Arial11"/>
              <w:rPr>
                <w:sz w:val="20"/>
                <w:szCs w:val="20"/>
              </w:rPr>
            </w:pPr>
            <w:r w:rsidRPr="00307C40">
              <w:rPr>
                <w:sz w:val="20"/>
                <w:szCs w:val="20"/>
              </w:rPr>
              <w:t>URL</w:t>
            </w:r>
          </w:p>
        </w:tc>
      </w:tr>
      <w:tr w:rsidR="002A292D" w:rsidRPr="00307C40" w14:paraId="4EF50647" w14:textId="77777777" w:rsidTr="006B1C6D">
        <w:tc>
          <w:tcPr>
            <w:tcW w:w="1525" w:type="dxa"/>
            <w:tcBorders>
              <w:top w:val="single" w:sz="4" w:space="0" w:color="auto"/>
              <w:left w:val="single" w:sz="4" w:space="0" w:color="auto"/>
              <w:bottom w:val="single" w:sz="4" w:space="0" w:color="auto"/>
              <w:right w:val="single" w:sz="4" w:space="0" w:color="auto"/>
            </w:tcBorders>
          </w:tcPr>
          <w:p w14:paraId="08A53F7E" w14:textId="77777777" w:rsidR="002A292D" w:rsidRPr="00307C40" w:rsidRDefault="002A292D" w:rsidP="00F134FB">
            <w:pPr>
              <w:pStyle w:val="1BODY-Arial11"/>
              <w:rPr>
                <w:sz w:val="20"/>
                <w:szCs w:val="20"/>
              </w:rPr>
            </w:pPr>
            <w:r w:rsidRPr="00307C40">
              <w:rPr>
                <w:sz w:val="20"/>
                <w:szCs w:val="20"/>
              </w:rPr>
              <w:t>Form A707</w:t>
            </w:r>
          </w:p>
        </w:tc>
        <w:tc>
          <w:tcPr>
            <w:tcW w:w="3060" w:type="dxa"/>
            <w:tcBorders>
              <w:top w:val="single" w:sz="4" w:space="0" w:color="auto"/>
              <w:left w:val="single" w:sz="4" w:space="0" w:color="auto"/>
              <w:bottom w:val="single" w:sz="4" w:space="0" w:color="auto"/>
              <w:right w:val="single" w:sz="4" w:space="0" w:color="auto"/>
            </w:tcBorders>
          </w:tcPr>
          <w:p w14:paraId="4681709B" w14:textId="77777777" w:rsidR="002A292D" w:rsidRPr="00307C40" w:rsidRDefault="002A292D" w:rsidP="00F134FB">
            <w:pPr>
              <w:pStyle w:val="1BODY-Arial11"/>
              <w:rPr>
                <w:sz w:val="20"/>
                <w:szCs w:val="20"/>
              </w:rPr>
            </w:pPr>
            <w:r w:rsidRPr="00307C40">
              <w:rPr>
                <w:sz w:val="20"/>
                <w:szCs w:val="20"/>
              </w:rPr>
              <w:t>HUD Form 11</w:t>
            </w:r>
          </w:p>
        </w:tc>
        <w:tc>
          <w:tcPr>
            <w:tcW w:w="5341" w:type="dxa"/>
            <w:tcBorders>
              <w:top w:val="single" w:sz="4" w:space="0" w:color="auto"/>
              <w:left w:val="single" w:sz="4" w:space="0" w:color="auto"/>
              <w:bottom w:val="single" w:sz="4" w:space="0" w:color="auto"/>
              <w:right w:val="single" w:sz="4" w:space="0" w:color="auto"/>
            </w:tcBorders>
          </w:tcPr>
          <w:p w14:paraId="6EC9CE1C" w14:textId="4317FBC9" w:rsidR="002A292D" w:rsidRPr="00307C40" w:rsidRDefault="00000000" w:rsidP="00F134FB">
            <w:pPr>
              <w:pStyle w:val="1BODY-Arial11"/>
              <w:rPr>
                <w:sz w:val="20"/>
                <w:szCs w:val="20"/>
              </w:rPr>
            </w:pPr>
            <w:hyperlink r:id="rId12" w:history="1">
              <w:r w:rsidR="002A292D" w:rsidRPr="00307C40">
                <w:rPr>
                  <w:rStyle w:val="Hyperlink"/>
                  <w:b w:val="0"/>
                  <w:bCs/>
                  <w:sz w:val="20"/>
                  <w:szCs w:val="20"/>
                </w:rPr>
                <w:t>http://portal.hud.gov/hudportal/documents/huddoc?id=11.pdf</w:t>
              </w:r>
            </w:hyperlink>
          </w:p>
        </w:tc>
      </w:tr>
      <w:tr w:rsidR="002A292D" w:rsidRPr="00307C40" w14:paraId="327386F2" w14:textId="77777777" w:rsidTr="006B1C6D">
        <w:tc>
          <w:tcPr>
            <w:tcW w:w="1525" w:type="dxa"/>
            <w:tcBorders>
              <w:top w:val="single" w:sz="4" w:space="0" w:color="auto"/>
              <w:left w:val="single" w:sz="4" w:space="0" w:color="auto"/>
              <w:bottom w:val="single" w:sz="4" w:space="0" w:color="auto"/>
              <w:right w:val="single" w:sz="4" w:space="0" w:color="auto"/>
            </w:tcBorders>
          </w:tcPr>
          <w:p w14:paraId="28FEA03F" w14:textId="77777777" w:rsidR="002A292D" w:rsidRPr="00307C40" w:rsidRDefault="002A292D" w:rsidP="00F134FB">
            <w:pPr>
              <w:pStyle w:val="1BODY-Arial11"/>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B564B2E" w14:textId="77777777" w:rsidR="002A292D" w:rsidRPr="00307C40" w:rsidRDefault="002A292D" w:rsidP="00F134FB">
            <w:pPr>
              <w:pStyle w:val="1BODY-Arial11"/>
              <w:rPr>
                <w:sz w:val="20"/>
                <w:szCs w:val="20"/>
              </w:rPr>
            </w:pPr>
            <w:r w:rsidRPr="00307C40">
              <w:rPr>
                <w:sz w:val="20"/>
                <w:szCs w:val="20"/>
              </w:rPr>
              <w:t>DOL’s current monetary penalties</w:t>
            </w:r>
          </w:p>
        </w:tc>
        <w:tc>
          <w:tcPr>
            <w:tcW w:w="5341" w:type="dxa"/>
            <w:tcBorders>
              <w:top w:val="single" w:sz="4" w:space="0" w:color="auto"/>
              <w:left w:val="single" w:sz="4" w:space="0" w:color="auto"/>
              <w:bottom w:val="single" w:sz="4" w:space="0" w:color="auto"/>
              <w:right w:val="single" w:sz="4" w:space="0" w:color="auto"/>
            </w:tcBorders>
          </w:tcPr>
          <w:p w14:paraId="488F09B0" w14:textId="060E6419" w:rsidR="002A292D" w:rsidRPr="00307C40" w:rsidRDefault="00000000" w:rsidP="00F134FB">
            <w:pPr>
              <w:pStyle w:val="1BODY-Arial11"/>
              <w:rPr>
                <w:sz w:val="20"/>
                <w:szCs w:val="20"/>
              </w:rPr>
            </w:pPr>
            <w:hyperlink r:id="rId13" w:history="1">
              <w:r w:rsidR="002A292D" w:rsidRPr="00307C40">
                <w:rPr>
                  <w:rStyle w:val="Hyperlink"/>
                  <w:b w:val="0"/>
                  <w:bCs/>
                  <w:sz w:val="20"/>
                  <w:szCs w:val="20"/>
                </w:rPr>
                <w:t>https://www.dol.gov/whd/resources/cmp.htm</w:t>
              </w:r>
            </w:hyperlink>
          </w:p>
        </w:tc>
      </w:tr>
      <w:tr w:rsidR="002A292D" w:rsidRPr="00307C40" w14:paraId="7F7C9361" w14:textId="77777777" w:rsidTr="006B1C6D">
        <w:tc>
          <w:tcPr>
            <w:tcW w:w="1525" w:type="dxa"/>
            <w:tcBorders>
              <w:top w:val="single" w:sz="4" w:space="0" w:color="auto"/>
              <w:left w:val="single" w:sz="4" w:space="0" w:color="auto"/>
              <w:bottom w:val="single" w:sz="4" w:space="0" w:color="auto"/>
              <w:right w:val="single" w:sz="4" w:space="0" w:color="auto"/>
            </w:tcBorders>
          </w:tcPr>
          <w:p w14:paraId="150CBBDF" w14:textId="77777777" w:rsidR="002A292D" w:rsidRPr="00307C40" w:rsidRDefault="002A292D" w:rsidP="00F134FB">
            <w:pPr>
              <w:pStyle w:val="1BODY-Arial11"/>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4901834" w14:textId="77777777" w:rsidR="002A292D" w:rsidRPr="00307C40" w:rsidRDefault="002A292D" w:rsidP="007D3FBF">
            <w:pPr>
              <w:pStyle w:val="1BODYArial11"/>
              <w:spacing w:line="240" w:lineRule="auto"/>
              <w:jc w:val="left"/>
              <w:rPr>
                <w:sz w:val="20"/>
                <w:szCs w:val="20"/>
              </w:rPr>
            </w:pPr>
            <w:r w:rsidRPr="00307C40">
              <w:rPr>
                <w:sz w:val="20"/>
                <w:szCs w:val="20"/>
              </w:rPr>
              <w:t>How to Complete the Grant Overview Page</w:t>
            </w:r>
          </w:p>
        </w:tc>
        <w:tc>
          <w:tcPr>
            <w:tcW w:w="5341" w:type="dxa"/>
            <w:tcBorders>
              <w:top w:val="single" w:sz="4" w:space="0" w:color="auto"/>
              <w:left w:val="single" w:sz="4" w:space="0" w:color="auto"/>
              <w:bottom w:val="single" w:sz="4" w:space="0" w:color="auto"/>
              <w:right w:val="single" w:sz="4" w:space="0" w:color="auto"/>
            </w:tcBorders>
          </w:tcPr>
          <w:p w14:paraId="46FD5397" w14:textId="77777777" w:rsidR="002A292D" w:rsidRPr="00307C40" w:rsidRDefault="00000000" w:rsidP="00F134FB">
            <w:pPr>
              <w:pStyle w:val="1BODY-Arial11"/>
              <w:rPr>
                <w:sz w:val="20"/>
                <w:szCs w:val="20"/>
              </w:rPr>
            </w:pPr>
            <w:hyperlink r:id="rId14" w:history="1">
              <w:r w:rsidR="002A292D" w:rsidRPr="00307C40">
                <w:rPr>
                  <w:rStyle w:val="Hyperlink"/>
                  <w:b w:val="0"/>
                  <w:sz w:val="20"/>
                  <w:szCs w:val="20"/>
                </w:rPr>
                <w:t>TDA Forms website</w:t>
              </w:r>
            </w:hyperlink>
          </w:p>
        </w:tc>
      </w:tr>
      <w:tr w:rsidR="002A292D" w:rsidRPr="00307C40" w14:paraId="15A8A96F" w14:textId="77777777" w:rsidTr="006B1C6D">
        <w:tc>
          <w:tcPr>
            <w:tcW w:w="1525" w:type="dxa"/>
            <w:tcBorders>
              <w:top w:val="single" w:sz="4" w:space="0" w:color="auto"/>
              <w:left w:val="single" w:sz="4" w:space="0" w:color="auto"/>
              <w:bottom w:val="single" w:sz="4" w:space="0" w:color="auto"/>
              <w:right w:val="single" w:sz="4" w:space="0" w:color="auto"/>
            </w:tcBorders>
          </w:tcPr>
          <w:p w14:paraId="692EF409" w14:textId="77777777" w:rsidR="002A292D" w:rsidRPr="00307C40" w:rsidRDefault="002A292D" w:rsidP="00F134FB">
            <w:pPr>
              <w:pStyle w:val="1BODY-Arial11"/>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954EA97" w14:textId="77777777" w:rsidR="002A292D" w:rsidRPr="00307C40" w:rsidRDefault="002A292D" w:rsidP="007D3FBF">
            <w:pPr>
              <w:pStyle w:val="1BODYArial11"/>
              <w:spacing w:line="240" w:lineRule="auto"/>
              <w:jc w:val="left"/>
              <w:rPr>
                <w:sz w:val="20"/>
                <w:szCs w:val="20"/>
              </w:rPr>
            </w:pPr>
            <w:r w:rsidRPr="00307C40">
              <w:rPr>
                <w:sz w:val="20"/>
                <w:szCs w:val="20"/>
              </w:rPr>
              <w:t>How to Initiate, Complete and Submit an MSR</w:t>
            </w:r>
          </w:p>
        </w:tc>
        <w:tc>
          <w:tcPr>
            <w:tcW w:w="5341" w:type="dxa"/>
            <w:tcBorders>
              <w:top w:val="single" w:sz="4" w:space="0" w:color="auto"/>
              <w:left w:val="single" w:sz="4" w:space="0" w:color="auto"/>
              <w:bottom w:val="single" w:sz="4" w:space="0" w:color="auto"/>
              <w:right w:val="single" w:sz="4" w:space="0" w:color="auto"/>
            </w:tcBorders>
          </w:tcPr>
          <w:p w14:paraId="59B87D38" w14:textId="77777777" w:rsidR="002A292D" w:rsidRPr="00307C40" w:rsidRDefault="00000000" w:rsidP="00F134FB">
            <w:pPr>
              <w:pStyle w:val="1BODY-Arial11"/>
              <w:rPr>
                <w:sz w:val="20"/>
                <w:szCs w:val="20"/>
              </w:rPr>
            </w:pPr>
            <w:hyperlink r:id="rId15" w:history="1">
              <w:r w:rsidR="002A292D" w:rsidRPr="00307C40">
                <w:rPr>
                  <w:rStyle w:val="Hyperlink"/>
                  <w:b w:val="0"/>
                  <w:sz w:val="20"/>
                  <w:szCs w:val="20"/>
                </w:rPr>
                <w:t>TDA Forms website</w:t>
              </w:r>
            </w:hyperlink>
          </w:p>
        </w:tc>
      </w:tr>
    </w:tbl>
    <w:p w14:paraId="5116E0C4" w14:textId="77777777" w:rsidR="00F134FB" w:rsidRPr="00307C40" w:rsidRDefault="00F134FB" w:rsidP="00F134FB">
      <w:pPr>
        <w:rPr>
          <w:sz w:val="20"/>
          <w:szCs w:val="20"/>
        </w:rPr>
      </w:pPr>
      <w:r w:rsidRPr="00307C40">
        <w:rPr>
          <w:sz w:val="20"/>
          <w:szCs w:val="20"/>
        </w:rPr>
        <w:t xml:space="preserve">*Note: these items will be updated as needed. </w:t>
      </w:r>
    </w:p>
    <w:p w14:paraId="521576A5" w14:textId="77777777" w:rsidR="007512A4" w:rsidRPr="00550E2E" w:rsidRDefault="007512A4" w:rsidP="007D3FBF">
      <w:pPr>
        <w:pStyle w:val="1BODYArial11"/>
        <w:spacing w:line="240" w:lineRule="auto"/>
      </w:pPr>
    </w:p>
    <w:sectPr w:rsidR="007512A4" w:rsidRPr="00550E2E" w:rsidSect="009C1057">
      <w:headerReference w:type="default" r:id="rId16"/>
      <w:footerReference w:type="default" r:id="rId17"/>
      <w:pgSz w:w="12240" w:h="15840" w:code="1"/>
      <w:pgMar w:top="1152" w:right="1152" w:bottom="1152" w:left="1152" w:header="0" w:footer="518" w:gutter="0"/>
      <w:paperSrc w:first="15" w:other="15"/>
      <w:cols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AD6F1" w14:textId="77777777" w:rsidR="00CB4EE8" w:rsidRDefault="00CB4EE8">
      <w:r>
        <w:separator/>
      </w:r>
    </w:p>
  </w:endnote>
  <w:endnote w:type="continuationSeparator" w:id="0">
    <w:p w14:paraId="090A4D8A" w14:textId="77777777" w:rsidR="00CB4EE8" w:rsidRDefault="00C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6CC42" w14:textId="77777777" w:rsidR="00017D3A" w:rsidRDefault="00017D3A" w:rsidP="006801D8">
    <w:pPr>
      <w:pStyle w:val="Footer"/>
      <w:pBdr>
        <w:top w:val="dotted" w:sz="4" w:space="0" w:color="auto"/>
      </w:pBdr>
      <w:tabs>
        <w:tab w:val="clear" w:pos="4320"/>
        <w:tab w:val="clear" w:pos="8640"/>
        <w:tab w:val="left" w:pos="3600"/>
        <w:tab w:val="left" w:pos="4500"/>
        <w:tab w:val="left" w:pos="7920"/>
        <w:tab w:val="right" w:pos="9630"/>
      </w:tabs>
      <w:rPr>
        <w:rFonts w:cs="Arial"/>
        <w:sz w:val="16"/>
        <w:szCs w:val="16"/>
      </w:rPr>
    </w:pPr>
  </w:p>
  <w:p w14:paraId="5CB6B3FA" w14:textId="098DFC09" w:rsidR="00F04759" w:rsidRDefault="00F25AA3" w:rsidP="006801D8">
    <w:pPr>
      <w:pStyle w:val="Footer"/>
      <w:pBdr>
        <w:top w:val="dotted" w:sz="4" w:space="0" w:color="auto"/>
      </w:pBdr>
      <w:tabs>
        <w:tab w:val="clear" w:pos="4320"/>
        <w:tab w:val="clear" w:pos="8640"/>
        <w:tab w:val="left" w:pos="3600"/>
        <w:tab w:val="left" w:pos="4500"/>
        <w:tab w:val="left" w:pos="7920"/>
        <w:tab w:val="right" w:pos="9630"/>
      </w:tabs>
      <w:rPr>
        <w:rFonts w:cs="Arial"/>
        <w:sz w:val="16"/>
        <w:szCs w:val="16"/>
      </w:rPr>
    </w:pPr>
    <w:r>
      <w:rPr>
        <w:rFonts w:cs="Arial"/>
        <w:sz w:val="16"/>
        <w:szCs w:val="16"/>
      </w:rPr>
      <w:t>202</w:t>
    </w:r>
    <w:r w:rsidR="00885BDD">
      <w:rPr>
        <w:rFonts w:cs="Arial"/>
        <w:sz w:val="16"/>
        <w:szCs w:val="16"/>
      </w:rPr>
      <w:t>4</w:t>
    </w:r>
    <w:r w:rsidR="00A73DAD">
      <w:rPr>
        <w:rFonts w:cs="Arial"/>
        <w:sz w:val="16"/>
        <w:szCs w:val="16"/>
      </w:rPr>
      <w:t xml:space="preserve"> </w:t>
    </w:r>
    <w:r w:rsidR="00A73DAD" w:rsidRPr="006801D8">
      <w:rPr>
        <w:rFonts w:cs="Arial"/>
        <w:sz w:val="16"/>
        <w:szCs w:val="16"/>
      </w:rPr>
      <w:t>TxCDBG</w:t>
    </w:r>
    <w:r w:rsidR="00A73DAD">
      <w:rPr>
        <w:rFonts w:cs="Arial"/>
        <w:sz w:val="16"/>
        <w:szCs w:val="16"/>
      </w:rPr>
      <w:t xml:space="preserve"> </w:t>
    </w:r>
    <w:r w:rsidR="00F04759">
      <w:rPr>
        <w:rFonts w:cs="Arial"/>
        <w:sz w:val="16"/>
        <w:szCs w:val="16"/>
      </w:rPr>
      <w:t>Project Implementation Manual</w:t>
    </w:r>
    <w:r w:rsidR="00F04759">
      <w:rPr>
        <w:rFonts w:cs="Arial"/>
        <w:sz w:val="16"/>
        <w:szCs w:val="16"/>
      </w:rPr>
      <w:tab/>
    </w:r>
    <w:r w:rsidR="00B40CB6" w:rsidRPr="00F04759">
      <w:rPr>
        <w:rFonts w:cs="Arial"/>
        <w:sz w:val="16"/>
        <w:szCs w:val="16"/>
      </w:rPr>
      <w:t>Section A–Chapter 7 Davis-Bacon Labor Standards</w:t>
    </w:r>
    <w:r>
      <w:rPr>
        <w:rFonts w:cs="Arial"/>
        <w:sz w:val="16"/>
        <w:szCs w:val="16"/>
      </w:rPr>
      <w:t xml:space="preserve">            </w:t>
    </w:r>
    <w:r w:rsidR="003E15BA">
      <w:rPr>
        <w:rFonts w:cs="Arial"/>
        <w:sz w:val="16"/>
        <w:szCs w:val="16"/>
      </w:rPr>
      <w:t>9</w:t>
    </w:r>
    <w:r w:rsidR="00200659">
      <w:rPr>
        <w:rFonts w:cs="Arial"/>
        <w:sz w:val="16"/>
        <w:szCs w:val="16"/>
      </w:rPr>
      <w:t>.1</w:t>
    </w:r>
    <w:r w:rsidR="00CE39E7">
      <w:rPr>
        <w:rFonts w:cs="Arial"/>
        <w:sz w:val="16"/>
        <w:szCs w:val="16"/>
      </w:rPr>
      <w:t>.202</w:t>
    </w:r>
    <w:r w:rsidR="00656DA4">
      <w:rPr>
        <w:rFonts w:cs="Arial"/>
        <w:sz w:val="16"/>
        <w:szCs w:val="16"/>
      </w:rPr>
      <w:t>4</w:t>
    </w:r>
    <w:r w:rsidR="00B40CB6" w:rsidRPr="00F04759">
      <w:rPr>
        <w:rFonts w:cs="Arial"/>
        <w:sz w:val="16"/>
        <w:szCs w:val="16"/>
      </w:rPr>
      <w:tab/>
    </w:r>
    <w:r w:rsidR="00F04759" w:rsidRPr="00F04759">
      <w:rPr>
        <w:rFonts w:cs="Arial"/>
        <w:sz w:val="16"/>
        <w:szCs w:val="16"/>
      </w:rPr>
      <w:fldChar w:fldCharType="begin"/>
    </w:r>
    <w:r w:rsidR="00F04759" w:rsidRPr="00F04759">
      <w:rPr>
        <w:rFonts w:cs="Arial"/>
        <w:sz w:val="16"/>
        <w:szCs w:val="16"/>
      </w:rPr>
      <w:instrText xml:space="preserve"> PAGE   \* MERGEFORMAT </w:instrText>
    </w:r>
    <w:r w:rsidR="00F04759" w:rsidRPr="00F04759">
      <w:rPr>
        <w:rFonts w:cs="Arial"/>
        <w:sz w:val="16"/>
        <w:szCs w:val="16"/>
      </w:rPr>
      <w:fldChar w:fldCharType="separate"/>
    </w:r>
    <w:r w:rsidR="00067DF4">
      <w:rPr>
        <w:rFonts w:cs="Arial"/>
        <w:noProof/>
        <w:sz w:val="16"/>
        <w:szCs w:val="16"/>
      </w:rPr>
      <w:t>5</w:t>
    </w:r>
    <w:r w:rsidR="00F04759" w:rsidRPr="00F0475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73759" w14:textId="77777777" w:rsidR="00CB4EE8" w:rsidRDefault="00CB4EE8">
      <w:r>
        <w:separator/>
      </w:r>
    </w:p>
  </w:footnote>
  <w:footnote w:type="continuationSeparator" w:id="0">
    <w:p w14:paraId="53DC6400" w14:textId="77777777" w:rsidR="00CB4EE8" w:rsidRDefault="00CB4EE8">
      <w:r>
        <w:continuationSeparator/>
      </w:r>
    </w:p>
  </w:footnote>
  <w:footnote w:id="1">
    <w:p w14:paraId="2DAD2281" w14:textId="0DD4644F" w:rsidR="00437B4E" w:rsidRPr="00437B4E" w:rsidRDefault="00437B4E">
      <w:pPr>
        <w:pStyle w:val="FootnoteText"/>
        <w:rPr>
          <w:rFonts w:cs="Arial"/>
        </w:rPr>
      </w:pPr>
      <w:r w:rsidRPr="00437B4E">
        <w:rPr>
          <w:rStyle w:val="FootnoteReference"/>
          <w:rFonts w:cs="Arial"/>
        </w:rPr>
        <w:footnoteRef/>
      </w:r>
      <w:r w:rsidRPr="00437B4E">
        <w:rPr>
          <w:rFonts w:cs="Arial"/>
        </w:rPr>
        <w:t xml:space="preserve"> 42 USC § 5310; 40 USC 3142(d))</w:t>
      </w:r>
    </w:p>
  </w:footnote>
  <w:footnote w:id="2">
    <w:p w14:paraId="225E70A9" w14:textId="0F2AF8F6" w:rsidR="00F32CA5" w:rsidRDefault="00F32CA5">
      <w:pPr>
        <w:pStyle w:val="FootnoteText"/>
      </w:pPr>
      <w:r>
        <w:rPr>
          <w:rStyle w:val="FootnoteReference"/>
        </w:rPr>
        <w:footnoteRef/>
      </w:r>
      <w:r>
        <w:t xml:space="preserve"> </w:t>
      </w:r>
      <w:r w:rsidRPr="008451DD">
        <w:rPr>
          <w:sz w:val="18"/>
          <w:szCs w:val="18"/>
        </w:rPr>
        <w:t>HUD handbook 1344.1 3-10(A)</w:t>
      </w:r>
    </w:p>
  </w:footnote>
  <w:footnote w:id="3">
    <w:p w14:paraId="76DD3AC9" w14:textId="3E20DBE5" w:rsidR="008451DD" w:rsidRPr="008451DD" w:rsidRDefault="008451DD">
      <w:pPr>
        <w:pStyle w:val="FootnoteText"/>
        <w:rPr>
          <w:sz w:val="18"/>
          <w:szCs w:val="18"/>
        </w:rPr>
      </w:pPr>
      <w:r>
        <w:rPr>
          <w:rStyle w:val="FootnoteReference"/>
        </w:rPr>
        <w:footnoteRef/>
      </w:r>
      <w:r>
        <w:t xml:space="preserve"> </w:t>
      </w:r>
      <w:r w:rsidRPr="008451DD">
        <w:rPr>
          <w:sz w:val="18"/>
          <w:szCs w:val="18"/>
        </w:rPr>
        <w:t>29 CFR Parts 5 and 29</w:t>
      </w:r>
    </w:p>
  </w:footnote>
  <w:footnote w:id="4">
    <w:p w14:paraId="0786BB15" w14:textId="0DA0B144" w:rsidR="007A535E" w:rsidRDefault="007A535E">
      <w:pPr>
        <w:pStyle w:val="FootnoteText"/>
      </w:pPr>
      <w:r w:rsidRPr="008451DD">
        <w:rPr>
          <w:rStyle w:val="FootnoteReference"/>
          <w:sz w:val="18"/>
          <w:szCs w:val="18"/>
        </w:rPr>
        <w:footnoteRef/>
      </w:r>
      <w:r w:rsidRPr="008451DD">
        <w:rPr>
          <w:sz w:val="18"/>
          <w:szCs w:val="18"/>
        </w:rPr>
        <w:t xml:space="preserve"> 29 CFR 5.5(a)(3)(ii)(B)</w:t>
      </w:r>
    </w:p>
  </w:footnote>
  <w:footnote w:id="5">
    <w:p w14:paraId="65CF1A7E" w14:textId="1F03420A" w:rsidR="005F63A2" w:rsidRDefault="005F63A2">
      <w:pPr>
        <w:pStyle w:val="FootnoteText"/>
      </w:pPr>
      <w:r>
        <w:rPr>
          <w:rStyle w:val="FootnoteReference"/>
        </w:rPr>
        <w:footnoteRef/>
      </w:r>
      <w:r>
        <w:t xml:space="preserve"> </w:t>
      </w:r>
      <w:r w:rsidRPr="001F7AD8">
        <w:rPr>
          <w:i/>
        </w:rPr>
        <w:t>Making Davis-Bacon Work</w:t>
      </w:r>
      <w:r>
        <w:rPr>
          <w:i/>
        </w:rPr>
        <w:t>—</w:t>
      </w:r>
      <w:r w:rsidRPr="001F7AD8">
        <w:rPr>
          <w:i/>
        </w:rPr>
        <w:t xml:space="preserve">A Practical Guide for States, Indian Tribes and Local Agencies, </w:t>
      </w:r>
      <w:r w:rsidRPr="001F7AD8">
        <w:t>September 2011</w:t>
      </w:r>
    </w:p>
  </w:footnote>
  <w:footnote w:id="6">
    <w:p w14:paraId="2FB19C2A" w14:textId="074E7AAC" w:rsidR="005F63A2" w:rsidRDefault="005F63A2">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2188451"/>
      <w:docPartObj>
        <w:docPartGallery w:val="Watermarks"/>
        <w:docPartUnique/>
      </w:docPartObj>
    </w:sdtPr>
    <w:sdtContent>
      <w:p w14:paraId="226B6473" w14:textId="3B2CFABC" w:rsidR="00D2447F" w:rsidRDefault="00000000" w:rsidP="00B96FA8">
        <w:pPr>
          <w:pStyle w:val="Header"/>
          <w:tabs>
            <w:tab w:val="clear" w:pos="4320"/>
            <w:tab w:val="clear" w:pos="8640"/>
          </w:tabs>
        </w:pPr>
        <w:r>
          <w:rPr>
            <w:noProof/>
          </w:rPr>
          <w:pict w14:anchorId="2B081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56683"/>
    <w:multiLevelType w:val="hybridMultilevel"/>
    <w:tmpl w:val="E5DE1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B3CE0"/>
    <w:multiLevelType w:val="hybridMultilevel"/>
    <w:tmpl w:val="3D46F20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A42E8E"/>
    <w:multiLevelType w:val="hybridMultilevel"/>
    <w:tmpl w:val="51A0FB92"/>
    <w:lvl w:ilvl="0" w:tplc="C660D9D2">
      <w:start w:val="1"/>
      <w:numFmt w:val="bullet"/>
      <w:pStyle w:val="2BULLETArial11"/>
      <w:lvlText w:val=""/>
      <w:lvlJc w:val="left"/>
      <w:pPr>
        <w:tabs>
          <w:tab w:val="num" w:pos="720"/>
        </w:tabs>
        <w:ind w:left="720" w:hanging="360"/>
      </w:pPr>
      <w:rPr>
        <w:rFonts w:ascii="Symbol" w:hAnsi="Symbol" w:hint="default"/>
        <w:color w:val="auto"/>
      </w:rPr>
    </w:lvl>
    <w:lvl w:ilvl="1" w:tplc="93CA122C">
      <w:start w:val="1"/>
      <w:numFmt w:val="decimal"/>
      <w:lvlText w:val="%2."/>
      <w:lvlJc w:val="left"/>
      <w:pPr>
        <w:ind w:left="1440" w:hanging="360"/>
      </w:pPr>
      <w:rPr>
        <w:rFonts w:hint="default"/>
        <w:b w:val="0"/>
        <w:bC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8F3D3B"/>
    <w:multiLevelType w:val="hybridMultilevel"/>
    <w:tmpl w:val="6ECC0F9A"/>
    <w:lvl w:ilvl="0" w:tplc="01C67280">
      <w:start w:val="1"/>
      <w:numFmt w:val="bullet"/>
      <w:pStyle w:val="Box"/>
      <w:lvlText w:val=""/>
      <w:lvlJc w:val="left"/>
      <w:pPr>
        <w:tabs>
          <w:tab w:val="num" w:pos="360"/>
        </w:tabs>
        <w:ind w:left="360" w:hanging="360"/>
      </w:pPr>
      <w:rPr>
        <w:rFonts w:ascii="Wingdings" w:hAnsi="Wingdings" w:hint="default"/>
        <w:b/>
        <w:i w:val="0"/>
        <w:sz w:val="24"/>
      </w:rPr>
    </w:lvl>
    <w:lvl w:ilvl="1" w:tplc="085E7404">
      <w:start w:val="1"/>
      <w:numFmt w:val="bullet"/>
      <w:lvlText w:val=""/>
      <w:lvlJc w:val="left"/>
      <w:pPr>
        <w:tabs>
          <w:tab w:val="num" w:pos="1440"/>
        </w:tabs>
        <w:ind w:left="1440" w:hanging="360"/>
      </w:pPr>
      <w:rPr>
        <w:rFonts w:ascii="Symbol" w:hAnsi="Symbol" w:hint="default"/>
      </w:rPr>
    </w:lvl>
    <w:lvl w:ilvl="2" w:tplc="2A50B316" w:tentative="1">
      <w:start w:val="1"/>
      <w:numFmt w:val="bullet"/>
      <w:lvlText w:val=""/>
      <w:lvlJc w:val="left"/>
      <w:pPr>
        <w:tabs>
          <w:tab w:val="num" w:pos="2160"/>
        </w:tabs>
        <w:ind w:left="2160" w:hanging="360"/>
      </w:pPr>
      <w:rPr>
        <w:rFonts w:ascii="Wingdings" w:hAnsi="Wingdings" w:hint="default"/>
      </w:rPr>
    </w:lvl>
    <w:lvl w:ilvl="3" w:tplc="F02A3BDA" w:tentative="1">
      <w:start w:val="1"/>
      <w:numFmt w:val="bullet"/>
      <w:lvlText w:val=""/>
      <w:lvlJc w:val="left"/>
      <w:pPr>
        <w:tabs>
          <w:tab w:val="num" w:pos="2880"/>
        </w:tabs>
        <w:ind w:left="2880" w:hanging="360"/>
      </w:pPr>
      <w:rPr>
        <w:rFonts w:ascii="Symbol" w:hAnsi="Symbol" w:hint="default"/>
      </w:rPr>
    </w:lvl>
    <w:lvl w:ilvl="4" w:tplc="8EE8DBFE" w:tentative="1">
      <w:start w:val="1"/>
      <w:numFmt w:val="bullet"/>
      <w:lvlText w:val="o"/>
      <w:lvlJc w:val="left"/>
      <w:pPr>
        <w:tabs>
          <w:tab w:val="num" w:pos="3600"/>
        </w:tabs>
        <w:ind w:left="3600" w:hanging="360"/>
      </w:pPr>
      <w:rPr>
        <w:rFonts w:ascii="Courier New" w:hAnsi="Courier New" w:hint="default"/>
      </w:rPr>
    </w:lvl>
    <w:lvl w:ilvl="5" w:tplc="5E58D6C8" w:tentative="1">
      <w:start w:val="1"/>
      <w:numFmt w:val="bullet"/>
      <w:lvlText w:val=""/>
      <w:lvlJc w:val="left"/>
      <w:pPr>
        <w:tabs>
          <w:tab w:val="num" w:pos="4320"/>
        </w:tabs>
        <w:ind w:left="4320" w:hanging="360"/>
      </w:pPr>
      <w:rPr>
        <w:rFonts w:ascii="Wingdings" w:hAnsi="Wingdings" w:hint="default"/>
      </w:rPr>
    </w:lvl>
    <w:lvl w:ilvl="6" w:tplc="62548EE0" w:tentative="1">
      <w:start w:val="1"/>
      <w:numFmt w:val="bullet"/>
      <w:lvlText w:val=""/>
      <w:lvlJc w:val="left"/>
      <w:pPr>
        <w:tabs>
          <w:tab w:val="num" w:pos="5040"/>
        </w:tabs>
        <w:ind w:left="5040" w:hanging="360"/>
      </w:pPr>
      <w:rPr>
        <w:rFonts w:ascii="Symbol" w:hAnsi="Symbol" w:hint="default"/>
      </w:rPr>
    </w:lvl>
    <w:lvl w:ilvl="7" w:tplc="B03A0CAE" w:tentative="1">
      <w:start w:val="1"/>
      <w:numFmt w:val="bullet"/>
      <w:lvlText w:val="o"/>
      <w:lvlJc w:val="left"/>
      <w:pPr>
        <w:tabs>
          <w:tab w:val="num" w:pos="5760"/>
        </w:tabs>
        <w:ind w:left="5760" w:hanging="360"/>
      </w:pPr>
      <w:rPr>
        <w:rFonts w:ascii="Courier New" w:hAnsi="Courier New" w:hint="default"/>
      </w:rPr>
    </w:lvl>
    <w:lvl w:ilvl="8" w:tplc="BBB0F974" w:tentative="1">
      <w:start w:val="1"/>
      <w:numFmt w:val="bullet"/>
      <w:lvlText w:val=""/>
      <w:lvlJc w:val="left"/>
      <w:pPr>
        <w:tabs>
          <w:tab w:val="num" w:pos="6480"/>
        </w:tabs>
        <w:ind w:left="6480" w:hanging="360"/>
      </w:pPr>
      <w:rPr>
        <w:rFonts w:ascii="Wingdings" w:hAnsi="Wingdings" w:hint="default"/>
      </w:rPr>
    </w:lvl>
  </w:abstractNum>
  <w:num w:numId="1" w16cid:durableId="1554807002">
    <w:abstractNumId w:val="3"/>
  </w:num>
  <w:num w:numId="2" w16cid:durableId="166946186">
    <w:abstractNumId w:val="2"/>
  </w:num>
  <w:num w:numId="3" w16cid:durableId="998533774">
    <w:abstractNumId w:val="0"/>
  </w:num>
  <w:num w:numId="4" w16cid:durableId="25625669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isplayHorizont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F4"/>
    <w:rsid w:val="000015B4"/>
    <w:rsid w:val="00002D98"/>
    <w:rsid w:val="0000303F"/>
    <w:rsid w:val="0000370B"/>
    <w:rsid w:val="000046AF"/>
    <w:rsid w:val="00005D91"/>
    <w:rsid w:val="00006B46"/>
    <w:rsid w:val="00007BA1"/>
    <w:rsid w:val="00010660"/>
    <w:rsid w:val="00010ED7"/>
    <w:rsid w:val="000118A2"/>
    <w:rsid w:val="0001501B"/>
    <w:rsid w:val="00016541"/>
    <w:rsid w:val="00017D3A"/>
    <w:rsid w:val="000200B5"/>
    <w:rsid w:val="00022A69"/>
    <w:rsid w:val="00025DA4"/>
    <w:rsid w:val="00026B59"/>
    <w:rsid w:val="00033EE4"/>
    <w:rsid w:val="0003409E"/>
    <w:rsid w:val="00034333"/>
    <w:rsid w:val="00040357"/>
    <w:rsid w:val="000433FC"/>
    <w:rsid w:val="00043D55"/>
    <w:rsid w:val="000478F1"/>
    <w:rsid w:val="000515CB"/>
    <w:rsid w:val="00052FA0"/>
    <w:rsid w:val="00053D64"/>
    <w:rsid w:val="00054737"/>
    <w:rsid w:val="00054ABC"/>
    <w:rsid w:val="00055437"/>
    <w:rsid w:val="000560A7"/>
    <w:rsid w:val="00056689"/>
    <w:rsid w:val="0006149B"/>
    <w:rsid w:val="0006298C"/>
    <w:rsid w:val="00062DEA"/>
    <w:rsid w:val="000657DB"/>
    <w:rsid w:val="00065CB7"/>
    <w:rsid w:val="000675F8"/>
    <w:rsid w:val="00067DF4"/>
    <w:rsid w:val="00071B26"/>
    <w:rsid w:val="00071E9C"/>
    <w:rsid w:val="00074D06"/>
    <w:rsid w:val="00077E81"/>
    <w:rsid w:val="0008166A"/>
    <w:rsid w:val="00082B89"/>
    <w:rsid w:val="00083937"/>
    <w:rsid w:val="0008694F"/>
    <w:rsid w:val="00086B70"/>
    <w:rsid w:val="00087E7A"/>
    <w:rsid w:val="00093667"/>
    <w:rsid w:val="00093F17"/>
    <w:rsid w:val="00094B49"/>
    <w:rsid w:val="000A21D8"/>
    <w:rsid w:val="000A445E"/>
    <w:rsid w:val="000A5952"/>
    <w:rsid w:val="000A5DD5"/>
    <w:rsid w:val="000A68F6"/>
    <w:rsid w:val="000B1EA5"/>
    <w:rsid w:val="000B3681"/>
    <w:rsid w:val="000B40D1"/>
    <w:rsid w:val="000C2364"/>
    <w:rsid w:val="000C3373"/>
    <w:rsid w:val="000C50F6"/>
    <w:rsid w:val="000C5134"/>
    <w:rsid w:val="000C7FB4"/>
    <w:rsid w:val="000D01C1"/>
    <w:rsid w:val="000D4609"/>
    <w:rsid w:val="000D50A0"/>
    <w:rsid w:val="000E4D9D"/>
    <w:rsid w:val="000E6120"/>
    <w:rsid w:val="000F0239"/>
    <w:rsid w:val="000F28EA"/>
    <w:rsid w:val="000F5E43"/>
    <w:rsid w:val="000F6063"/>
    <w:rsid w:val="000F77DE"/>
    <w:rsid w:val="000F7A50"/>
    <w:rsid w:val="00100EC6"/>
    <w:rsid w:val="001019BB"/>
    <w:rsid w:val="00101B5C"/>
    <w:rsid w:val="00102E12"/>
    <w:rsid w:val="001041E3"/>
    <w:rsid w:val="00104458"/>
    <w:rsid w:val="0010551D"/>
    <w:rsid w:val="00106B10"/>
    <w:rsid w:val="00106E0D"/>
    <w:rsid w:val="00110E12"/>
    <w:rsid w:val="00113A1F"/>
    <w:rsid w:val="00113FCA"/>
    <w:rsid w:val="00114A67"/>
    <w:rsid w:val="00114D2D"/>
    <w:rsid w:val="00115C6B"/>
    <w:rsid w:val="00117BF6"/>
    <w:rsid w:val="00120C81"/>
    <w:rsid w:val="0012398A"/>
    <w:rsid w:val="00125CF7"/>
    <w:rsid w:val="00126ED3"/>
    <w:rsid w:val="00133BD2"/>
    <w:rsid w:val="00134833"/>
    <w:rsid w:val="00136216"/>
    <w:rsid w:val="00136937"/>
    <w:rsid w:val="00140145"/>
    <w:rsid w:val="0014149D"/>
    <w:rsid w:val="00141BF0"/>
    <w:rsid w:val="001429F2"/>
    <w:rsid w:val="00142F4A"/>
    <w:rsid w:val="001440C4"/>
    <w:rsid w:val="001454BB"/>
    <w:rsid w:val="00145A76"/>
    <w:rsid w:val="001501FA"/>
    <w:rsid w:val="00152D2B"/>
    <w:rsid w:val="001538D2"/>
    <w:rsid w:val="0015562B"/>
    <w:rsid w:val="00156747"/>
    <w:rsid w:val="00156936"/>
    <w:rsid w:val="001570B3"/>
    <w:rsid w:val="00157B57"/>
    <w:rsid w:val="00163ABD"/>
    <w:rsid w:val="001671C9"/>
    <w:rsid w:val="00174422"/>
    <w:rsid w:val="001744E3"/>
    <w:rsid w:val="00176561"/>
    <w:rsid w:val="001768D1"/>
    <w:rsid w:val="00177B29"/>
    <w:rsid w:val="00182919"/>
    <w:rsid w:val="00191E68"/>
    <w:rsid w:val="00194F26"/>
    <w:rsid w:val="00195A46"/>
    <w:rsid w:val="001963A7"/>
    <w:rsid w:val="00196C01"/>
    <w:rsid w:val="001A05D6"/>
    <w:rsid w:val="001A062D"/>
    <w:rsid w:val="001A214F"/>
    <w:rsid w:val="001A416D"/>
    <w:rsid w:val="001A5664"/>
    <w:rsid w:val="001A571C"/>
    <w:rsid w:val="001A5DDE"/>
    <w:rsid w:val="001A5E58"/>
    <w:rsid w:val="001A60B5"/>
    <w:rsid w:val="001A6D99"/>
    <w:rsid w:val="001A6E40"/>
    <w:rsid w:val="001B0EC4"/>
    <w:rsid w:val="001B132A"/>
    <w:rsid w:val="001B1D9A"/>
    <w:rsid w:val="001B3339"/>
    <w:rsid w:val="001B5528"/>
    <w:rsid w:val="001B6026"/>
    <w:rsid w:val="001B6293"/>
    <w:rsid w:val="001C0A65"/>
    <w:rsid w:val="001C0AF1"/>
    <w:rsid w:val="001C3066"/>
    <w:rsid w:val="001C3373"/>
    <w:rsid w:val="001C33F2"/>
    <w:rsid w:val="001C4044"/>
    <w:rsid w:val="001C4103"/>
    <w:rsid w:val="001C7BF3"/>
    <w:rsid w:val="001C7F19"/>
    <w:rsid w:val="001C7FD7"/>
    <w:rsid w:val="001D038B"/>
    <w:rsid w:val="001D0B4F"/>
    <w:rsid w:val="001D3EBA"/>
    <w:rsid w:val="001D41B5"/>
    <w:rsid w:val="001D506F"/>
    <w:rsid w:val="001D5FC2"/>
    <w:rsid w:val="001D60C9"/>
    <w:rsid w:val="001E04E1"/>
    <w:rsid w:val="001E10E2"/>
    <w:rsid w:val="001E331F"/>
    <w:rsid w:val="001E549E"/>
    <w:rsid w:val="001E57C3"/>
    <w:rsid w:val="001F0571"/>
    <w:rsid w:val="001F0DCA"/>
    <w:rsid w:val="001F40CA"/>
    <w:rsid w:val="001F4D58"/>
    <w:rsid w:val="001F5726"/>
    <w:rsid w:val="001F594C"/>
    <w:rsid w:val="001F5B1E"/>
    <w:rsid w:val="001F7AD8"/>
    <w:rsid w:val="001F7E27"/>
    <w:rsid w:val="00200659"/>
    <w:rsid w:val="002009CE"/>
    <w:rsid w:val="00201D68"/>
    <w:rsid w:val="00202196"/>
    <w:rsid w:val="00203711"/>
    <w:rsid w:val="0020600A"/>
    <w:rsid w:val="00206CFC"/>
    <w:rsid w:val="00207233"/>
    <w:rsid w:val="002073F7"/>
    <w:rsid w:val="0021079C"/>
    <w:rsid w:val="00211704"/>
    <w:rsid w:val="002122E8"/>
    <w:rsid w:val="00212A79"/>
    <w:rsid w:val="002220C6"/>
    <w:rsid w:val="00222CC1"/>
    <w:rsid w:val="00225327"/>
    <w:rsid w:val="00236310"/>
    <w:rsid w:val="00236E5C"/>
    <w:rsid w:val="002379BC"/>
    <w:rsid w:val="002404DC"/>
    <w:rsid w:val="00240622"/>
    <w:rsid w:val="002406E9"/>
    <w:rsid w:val="002437E4"/>
    <w:rsid w:val="00243886"/>
    <w:rsid w:val="002551EA"/>
    <w:rsid w:val="00255520"/>
    <w:rsid w:val="0025639A"/>
    <w:rsid w:val="00256828"/>
    <w:rsid w:val="00256EBC"/>
    <w:rsid w:val="00257701"/>
    <w:rsid w:val="002606DF"/>
    <w:rsid w:val="00260A22"/>
    <w:rsid w:val="00260E85"/>
    <w:rsid w:val="00260F8C"/>
    <w:rsid w:val="00262329"/>
    <w:rsid w:val="0026340E"/>
    <w:rsid w:val="00263485"/>
    <w:rsid w:val="002636A6"/>
    <w:rsid w:val="00265AEE"/>
    <w:rsid w:val="00265C76"/>
    <w:rsid w:val="00265D54"/>
    <w:rsid w:val="00266102"/>
    <w:rsid w:val="002668CE"/>
    <w:rsid w:val="00267E80"/>
    <w:rsid w:val="00270C05"/>
    <w:rsid w:val="0027301A"/>
    <w:rsid w:val="002760F9"/>
    <w:rsid w:val="00276EBB"/>
    <w:rsid w:val="00282928"/>
    <w:rsid w:val="00284BBE"/>
    <w:rsid w:val="00287947"/>
    <w:rsid w:val="00290D46"/>
    <w:rsid w:val="002959B3"/>
    <w:rsid w:val="00295FD2"/>
    <w:rsid w:val="00297671"/>
    <w:rsid w:val="002A0F54"/>
    <w:rsid w:val="002A292D"/>
    <w:rsid w:val="002A425C"/>
    <w:rsid w:val="002B015B"/>
    <w:rsid w:val="002B0713"/>
    <w:rsid w:val="002B103C"/>
    <w:rsid w:val="002B489B"/>
    <w:rsid w:val="002B69F6"/>
    <w:rsid w:val="002C06CB"/>
    <w:rsid w:val="002C0944"/>
    <w:rsid w:val="002C14CE"/>
    <w:rsid w:val="002C284C"/>
    <w:rsid w:val="002C2909"/>
    <w:rsid w:val="002C429E"/>
    <w:rsid w:val="002C5C94"/>
    <w:rsid w:val="002C69F9"/>
    <w:rsid w:val="002C78FB"/>
    <w:rsid w:val="002D098A"/>
    <w:rsid w:val="002D2DC3"/>
    <w:rsid w:val="002E177E"/>
    <w:rsid w:val="002E1DCF"/>
    <w:rsid w:val="002E2429"/>
    <w:rsid w:val="002E6468"/>
    <w:rsid w:val="002E7FEB"/>
    <w:rsid w:val="002F0388"/>
    <w:rsid w:val="002F0A4D"/>
    <w:rsid w:val="002F1DAF"/>
    <w:rsid w:val="002F36E3"/>
    <w:rsid w:val="002F514C"/>
    <w:rsid w:val="002F649F"/>
    <w:rsid w:val="002F6969"/>
    <w:rsid w:val="002F6FCA"/>
    <w:rsid w:val="00300D65"/>
    <w:rsid w:val="00302411"/>
    <w:rsid w:val="00302BD8"/>
    <w:rsid w:val="003046F5"/>
    <w:rsid w:val="003047F6"/>
    <w:rsid w:val="00305ABC"/>
    <w:rsid w:val="0030737E"/>
    <w:rsid w:val="00307509"/>
    <w:rsid w:val="00307C40"/>
    <w:rsid w:val="00311654"/>
    <w:rsid w:val="00311C1D"/>
    <w:rsid w:val="00311CAA"/>
    <w:rsid w:val="003120CB"/>
    <w:rsid w:val="00314350"/>
    <w:rsid w:val="00314AE7"/>
    <w:rsid w:val="0031567F"/>
    <w:rsid w:val="00315E42"/>
    <w:rsid w:val="00321D1E"/>
    <w:rsid w:val="00324C8D"/>
    <w:rsid w:val="00324EE5"/>
    <w:rsid w:val="003257A4"/>
    <w:rsid w:val="00325D9A"/>
    <w:rsid w:val="00325E60"/>
    <w:rsid w:val="003306C9"/>
    <w:rsid w:val="0033160F"/>
    <w:rsid w:val="00332765"/>
    <w:rsid w:val="00333710"/>
    <w:rsid w:val="0033458B"/>
    <w:rsid w:val="00334E51"/>
    <w:rsid w:val="0033712B"/>
    <w:rsid w:val="00337DA8"/>
    <w:rsid w:val="003406CE"/>
    <w:rsid w:val="00340CE0"/>
    <w:rsid w:val="00341329"/>
    <w:rsid w:val="00342715"/>
    <w:rsid w:val="003460BC"/>
    <w:rsid w:val="00347374"/>
    <w:rsid w:val="0035059C"/>
    <w:rsid w:val="003514AE"/>
    <w:rsid w:val="00351883"/>
    <w:rsid w:val="00352A1F"/>
    <w:rsid w:val="00356542"/>
    <w:rsid w:val="00357568"/>
    <w:rsid w:val="0036149D"/>
    <w:rsid w:val="00361BFA"/>
    <w:rsid w:val="00363559"/>
    <w:rsid w:val="003647E2"/>
    <w:rsid w:val="00364FC0"/>
    <w:rsid w:val="00367805"/>
    <w:rsid w:val="003678F1"/>
    <w:rsid w:val="00370631"/>
    <w:rsid w:val="00370CE6"/>
    <w:rsid w:val="00372C99"/>
    <w:rsid w:val="00374CEE"/>
    <w:rsid w:val="00382AF3"/>
    <w:rsid w:val="0039391A"/>
    <w:rsid w:val="00395C31"/>
    <w:rsid w:val="003976BC"/>
    <w:rsid w:val="003A0BBC"/>
    <w:rsid w:val="003A12B6"/>
    <w:rsid w:val="003B435E"/>
    <w:rsid w:val="003B498A"/>
    <w:rsid w:val="003B743E"/>
    <w:rsid w:val="003C02D5"/>
    <w:rsid w:val="003C0B91"/>
    <w:rsid w:val="003C1FAD"/>
    <w:rsid w:val="003C3EF9"/>
    <w:rsid w:val="003C62A7"/>
    <w:rsid w:val="003C6446"/>
    <w:rsid w:val="003C7114"/>
    <w:rsid w:val="003D0790"/>
    <w:rsid w:val="003D1E63"/>
    <w:rsid w:val="003D2CFC"/>
    <w:rsid w:val="003D3751"/>
    <w:rsid w:val="003D3D4F"/>
    <w:rsid w:val="003D5658"/>
    <w:rsid w:val="003D6E45"/>
    <w:rsid w:val="003E07E0"/>
    <w:rsid w:val="003E1583"/>
    <w:rsid w:val="003E15BA"/>
    <w:rsid w:val="003E26C3"/>
    <w:rsid w:val="003E53B1"/>
    <w:rsid w:val="003E5FD6"/>
    <w:rsid w:val="003F143C"/>
    <w:rsid w:val="003F15D8"/>
    <w:rsid w:val="003F1AC7"/>
    <w:rsid w:val="003F276E"/>
    <w:rsid w:val="003F5115"/>
    <w:rsid w:val="003F59E3"/>
    <w:rsid w:val="003F625A"/>
    <w:rsid w:val="003F676E"/>
    <w:rsid w:val="003F7685"/>
    <w:rsid w:val="00402255"/>
    <w:rsid w:val="004026CE"/>
    <w:rsid w:val="00405BA9"/>
    <w:rsid w:val="004067CB"/>
    <w:rsid w:val="00412F74"/>
    <w:rsid w:val="00414F33"/>
    <w:rsid w:val="004168BC"/>
    <w:rsid w:val="004203C7"/>
    <w:rsid w:val="0042105C"/>
    <w:rsid w:val="00423138"/>
    <w:rsid w:val="00423F3F"/>
    <w:rsid w:val="00424D22"/>
    <w:rsid w:val="0042689E"/>
    <w:rsid w:val="00426AA6"/>
    <w:rsid w:val="00426DF0"/>
    <w:rsid w:val="00427522"/>
    <w:rsid w:val="004300D2"/>
    <w:rsid w:val="004313D3"/>
    <w:rsid w:val="00432E24"/>
    <w:rsid w:val="00433244"/>
    <w:rsid w:val="00433E21"/>
    <w:rsid w:val="00436CBB"/>
    <w:rsid w:val="00437B4E"/>
    <w:rsid w:val="004438B3"/>
    <w:rsid w:val="0044424F"/>
    <w:rsid w:val="00444935"/>
    <w:rsid w:val="004467F0"/>
    <w:rsid w:val="00446B83"/>
    <w:rsid w:val="00447FED"/>
    <w:rsid w:val="00451A42"/>
    <w:rsid w:val="00451FA2"/>
    <w:rsid w:val="00452A6C"/>
    <w:rsid w:val="0045330D"/>
    <w:rsid w:val="0045469B"/>
    <w:rsid w:val="004546A3"/>
    <w:rsid w:val="00457585"/>
    <w:rsid w:val="004629B6"/>
    <w:rsid w:val="00464F74"/>
    <w:rsid w:val="004665FC"/>
    <w:rsid w:val="00467048"/>
    <w:rsid w:val="00470AC6"/>
    <w:rsid w:val="00470B3F"/>
    <w:rsid w:val="00470D5B"/>
    <w:rsid w:val="00471D6A"/>
    <w:rsid w:val="004741AB"/>
    <w:rsid w:val="00475A4B"/>
    <w:rsid w:val="00476058"/>
    <w:rsid w:val="00476F47"/>
    <w:rsid w:val="0047737D"/>
    <w:rsid w:val="00477F55"/>
    <w:rsid w:val="00480D0F"/>
    <w:rsid w:val="00481018"/>
    <w:rsid w:val="00481478"/>
    <w:rsid w:val="00482A98"/>
    <w:rsid w:val="0048474E"/>
    <w:rsid w:val="00484DCA"/>
    <w:rsid w:val="00485789"/>
    <w:rsid w:val="0048610A"/>
    <w:rsid w:val="004861D8"/>
    <w:rsid w:val="00486AE2"/>
    <w:rsid w:val="00491321"/>
    <w:rsid w:val="00491608"/>
    <w:rsid w:val="00493C19"/>
    <w:rsid w:val="00494DA5"/>
    <w:rsid w:val="00495C43"/>
    <w:rsid w:val="004974B4"/>
    <w:rsid w:val="004974BE"/>
    <w:rsid w:val="004A0C73"/>
    <w:rsid w:val="004A1E73"/>
    <w:rsid w:val="004A297F"/>
    <w:rsid w:val="004A4249"/>
    <w:rsid w:val="004A6365"/>
    <w:rsid w:val="004A6F4D"/>
    <w:rsid w:val="004A7BCA"/>
    <w:rsid w:val="004B1C72"/>
    <w:rsid w:val="004B20CA"/>
    <w:rsid w:val="004B2282"/>
    <w:rsid w:val="004B45ED"/>
    <w:rsid w:val="004C2666"/>
    <w:rsid w:val="004C32EF"/>
    <w:rsid w:val="004C3A0C"/>
    <w:rsid w:val="004C4A94"/>
    <w:rsid w:val="004C718A"/>
    <w:rsid w:val="004C73C4"/>
    <w:rsid w:val="004D0B19"/>
    <w:rsid w:val="004D0B91"/>
    <w:rsid w:val="004D42C7"/>
    <w:rsid w:val="004D6F68"/>
    <w:rsid w:val="004E1E32"/>
    <w:rsid w:val="004E4272"/>
    <w:rsid w:val="004E60DF"/>
    <w:rsid w:val="004E746F"/>
    <w:rsid w:val="004F0CB8"/>
    <w:rsid w:val="004F145D"/>
    <w:rsid w:val="004F21A9"/>
    <w:rsid w:val="004F2BBD"/>
    <w:rsid w:val="004F2C38"/>
    <w:rsid w:val="004F39A8"/>
    <w:rsid w:val="004F3EBC"/>
    <w:rsid w:val="004F4466"/>
    <w:rsid w:val="004F7A6E"/>
    <w:rsid w:val="005009E5"/>
    <w:rsid w:val="005014B9"/>
    <w:rsid w:val="00501CF2"/>
    <w:rsid w:val="00503182"/>
    <w:rsid w:val="0050336E"/>
    <w:rsid w:val="00503D44"/>
    <w:rsid w:val="00504353"/>
    <w:rsid w:val="00504F94"/>
    <w:rsid w:val="0050511C"/>
    <w:rsid w:val="00506265"/>
    <w:rsid w:val="00506A3A"/>
    <w:rsid w:val="005105BF"/>
    <w:rsid w:val="005105C0"/>
    <w:rsid w:val="0051155A"/>
    <w:rsid w:val="00511B7F"/>
    <w:rsid w:val="00511CCB"/>
    <w:rsid w:val="00513F7B"/>
    <w:rsid w:val="00514DFB"/>
    <w:rsid w:val="005166F4"/>
    <w:rsid w:val="00521A22"/>
    <w:rsid w:val="00522A1F"/>
    <w:rsid w:val="00522BBF"/>
    <w:rsid w:val="005245DB"/>
    <w:rsid w:val="005263F2"/>
    <w:rsid w:val="0052661F"/>
    <w:rsid w:val="0052688E"/>
    <w:rsid w:val="00527CC9"/>
    <w:rsid w:val="00530EDA"/>
    <w:rsid w:val="00531D34"/>
    <w:rsid w:val="00533460"/>
    <w:rsid w:val="00533BED"/>
    <w:rsid w:val="00534E07"/>
    <w:rsid w:val="00535F4A"/>
    <w:rsid w:val="00536228"/>
    <w:rsid w:val="00536C90"/>
    <w:rsid w:val="005400F7"/>
    <w:rsid w:val="005426B6"/>
    <w:rsid w:val="00543DB8"/>
    <w:rsid w:val="005453E0"/>
    <w:rsid w:val="0054547D"/>
    <w:rsid w:val="00545806"/>
    <w:rsid w:val="00545B59"/>
    <w:rsid w:val="00545E17"/>
    <w:rsid w:val="00546377"/>
    <w:rsid w:val="00550E2E"/>
    <w:rsid w:val="005523A8"/>
    <w:rsid w:val="005530BE"/>
    <w:rsid w:val="0055432F"/>
    <w:rsid w:val="00557009"/>
    <w:rsid w:val="00560BE4"/>
    <w:rsid w:val="00561559"/>
    <w:rsid w:val="00561C11"/>
    <w:rsid w:val="00563717"/>
    <w:rsid w:val="00563AA5"/>
    <w:rsid w:val="0056480B"/>
    <w:rsid w:val="0056665F"/>
    <w:rsid w:val="00566973"/>
    <w:rsid w:val="005671CC"/>
    <w:rsid w:val="0056757D"/>
    <w:rsid w:val="00567A67"/>
    <w:rsid w:val="00567F78"/>
    <w:rsid w:val="00570EAE"/>
    <w:rsid w:val="00574661"/>
    <w:rsid w:val="0057610D"/>
    <w:rsid w:val="00580C13"/>
    <w:rsid w:val="00581E10"/>
    <w:rsid w:val="00585DA9"/>
    <w:rsid w:val="005902F5"/>
    <w:rsid w:val="00590E9F"/>
    <w:rsid w:val="00592D2E"/>
    <w:rsid w:val="00594C7A"/>
    <w:rsid w:val="00596BA0"/>
    <w:rsid w:val="00596CDE"/>
    <w:rsid w:val="00596F57"/>
    <w:rsid w:val="005A3B0D"/>
    <w:rsid w:val="005A559C"/>
    <w:rsid w:val="005A6A01"/>
    <w:rsid w:val="005A74CC"/>
    <w:rsid w:val="005B0B81"/>
    <w:rsid w:val="005B53C8"/>
    <w:rsid w:val="005B5D28"/>
    <w:rsid w:val="005B76B6"/>
    <w:rsid w:val="005B7DB5"/>
    <w:rsid w:val="005B7E91"/>
    <w:rsid w:val="005C26E9"/>
    <w:rsid w:val="005C4CCC"/>
    <w:rsid w:val="005C4FC0"/>
    <w:rsid w:val="005C779B"/>
    <w:rsid w:val="005D29EC"/>
    <w:rsid w:val="005D3769"/>
    <w:rsid w:val="005D4095"/>
    <w:rsid w:val="005E3ABA"/>
    <w:rsid w:val="005E5D09"/>
    <w:rsid w:val="005E6340"/>
    <w:rsid w:val="005E644C"/>
    <w:rsid w:val="005E6B09"/>
    <w:rsid w:val="005E6CF6"/>
    <w:rsid w:val="005F0079"/>
    <w:rsid w:val="005F11AE"/>
    <w:rsid w:val="005F1383"/>
    <w:rsid w:val="005F2762"/>
    <w:rsid w:val="005F2C16"/>
    <w:rsid w:val="005F3834"/>
    <w:rsid w:val="005F3FEF"/>
    <w:rsid w:val="005F63A2"/>
    <w:rsid w:val="005F6851"/>
    <w:rsid w:val="005F6B1C"/>
    <w:rsid w:val="005F6D8C"/>
    <w:rsid w:val="005F731D"/>
    <w:rsid w:val="00601FD6"/>
    <w:rsid w:val="00602667"/>
    <w:rsid w:val="00603224"/>
    <w:rsid w:val="00607C74"/>
    <w:rsid w:val="0061072F"/>
    <w:rsid w:val="0061171A"/>
    <w:rsid w:val="0061216D"/>
    <w:rsid w:val="00612FEA"/>
    <w:rsid w:val="0061343A"/>
    <w:rsid w:val="006146F9"/>
    <w:rsid w:val="006157C6"/>
    <w:rsid w:val="006158DD"/>
    <w:rsid w:val="006162EF"/>
    <w:rsid w:val="0061746D"/>
    <w:rsid w:val="00620032"/>
    <w:rsid w:val="0062202A"/>
    <w:rsid w:val="0062352B"/>
    <w:rsid w:val="0062452F"/>
    <w:rsid w:val="00627C93"/>
    <w:rsid w:val="00630D08"/>
    <w:rsid w:val="00630E60"/>
    <w:rsid w:val="00630FB5"/>
    <w:rsid w:val="00632125"/>
    <w:rsid w:val="00632196"/>
    <w:rsid w:val="00633AA1"/>
    <w:rsid w:val="006374D2"/>
    <w:rsid w:val="0063795B"/>
    <w:rsid w:val="0064620A"/>
    <w:rsid w:val="006468EE"/>
    <w:rsid w:val="00646F7A"/>
    <w:rsid w:val="0065039C"/>
    <w:rsid w:val="006506E0"/>
    <w:rsid w:val="0065079D"/>
    <w:rsid w:val="00650FD5"/>
    <w:rsid w:val="006512CA"/>
    <w:rsid w:val="00651433"/>
    <w:rsid w:val="00655324"/>
    <w:rsid w:val="00656DA4"/>
    <w:rsid w:val="00661A63"/>
    <w:rsid w:val="006622EA"/>
    <w:rsid w:val="00662FFE"/>
    <w:rsid w:val="006638B7"/>
    <w:rsid w:val="006714F4"/>
    <w:rsid w:val="00671F5E"/>
    <w:rsid w:val="00672FDC"/>
    <w:rsid w:val="00673FDA"/>
    <w:rsid w:val="0067545B"/>
    <w:rsid w:val="006766B0"/>
    <w:rsid w:val="006801D8"/>
    <w:rsid w:val="006804FE"/>
    <w:rsid w:val="0068072E"/>
    <w:rsid w:val="006841D7"/>
    <w:rsid w:val="00684E2E"/>
    <w:rsid w:val="00684FE6"/>
    <w:rsid w:val="00685EC8"/>
    <w:rsid w:val="0069164D"/>
    <w:rsid w:val="006927E0"/>
    <w:rsid w:val="00692B4B"/>
    <w:rsid w:val="006953E8"/>
    <w:rsid w:val="006961F1"/>
    <w:rsid w:val="006968E6"/>
    <w:rsid w:val="00696DC2"/>
    <w:rsid w:val="00697042"/>
    <w:rsid w:val="006A18A5"/>
    <w:rsid w:val="006A386E"/>
    <w:rsid w:val="006A6550"/>
    <w:rsid w:val="006B0B8C"/>
    <w:rsid w:val="006B0D84"/>
    <w:rsid w:val="006B0F75"/>
    <w:rsid w:val="006B3C8D"/>
    <w:rsid w:val="006B57C9"/>
    <w:rsid w:val="006B71F0"/>
    <w:rsid w:val="006B7852"/>
    <w:rsid w:val="006B7F3B"/>
    <w:rsid w:val="006C114B"/>
    <w:rsid w:val="006C295C"/>
    <w:rsid w:val="006C35EB"/>
    <w:rsid w:val="006C3947"/>
    <w:rsid w:val="006C3AA2"/>
    <w:rsid w:val="006C79CF"/>
    <w:rsid w:val="006D35D9"/>
    <w:rsid w:val="006D3E7C"/>
    <w:rsid w:val="006D5656"/>
    <w:rsid w:val="006D644B"/>
    <w:rsid w:val="006D71AB"/>
    <w:rsid w:val="006D784A"/>
    <w:rsid w:val="006D7F8A"/>
    <w:rsid w:val="006E3C53"/>
    <w:rsid w:val="006E55A3"/>
    <w:rsid w:val="006E5DC3"/>
    <w:rsid w:val="006E60BE"/>
    <w:rsid w:val="006F06EF"/>
    <w:rsid w:val="006F0912"/>
    <w:rsid w:val="006F10BE"/>
    <w:rsid w:val="006F3301"/>
    <w:rsid w:val="006F725B"/>
    <w:rsid w:val="007058B8"/>
    <w:rsid w:val="00706A01"/>
    <w:rsid w:val="0071357C"/>
    <w:rsid w:val="007138EC"/>
    <w:rsid w:val="00715A3A"/>
    <w:rsid w:val="007168C2"/>
    <w:rsid w:val="00717C5D"/>
    <w:rsid w:val="00720410"/>
    <w:rsid w:val="00721C8D"/>
    <w:rsid w:val="00722593"/>
    <w:rsid w:val="00722E76"/>
    <w:rsid w:val="00723304"/>
    <w:rsid w:val="00724746"/>
    <w:rsid w:val="00727548"/>
    <w:rsid w:val="007279B1"/>
    <w:rsid w:val="0073140D"/>
    <w:rsid w:val="0073229F"/>
    <w:rsid w:val="00733ACD"/>
    <w:rsid w:val="00734B70"/>
    <w:rsid w:val="00734ED4"/>
    <w:rsid w:val="00735656"/>
    <w:rsid w:val="007360A1"/>
    <w:rsid w:val="00736C5D"/>
    <w:rsid w:val="007418A4"/>
    <w:rsid w:val="00743E58"/>
    <w:rsid w:val="00743F81"/>
    <w:rsid w:val="00746A71"/>
    <w:rsid w:val="007510C6"/>
    <w:rsid w:val="007512A4"/>
    <w:rsid w:val="0075177C"/>
    <w:rsid w:val="00753986"/>
    <w:rsid w:val="007547ED"/>
    <w:rsid w:val="00755570"/>
    <w:rsid w:val="00756D2D"/>
    <w:rsid w:val="00756E00"/>
    <w:rsid w:val="0075735E"/>
    <w:rsid w:val="0075764E"/>
    <w:rsid w:val="00757B02"/>
    <w:rsid w:val="00757BEC"/>
    <w:rsid w:val="007619B5"/>
    <w:rsid w:val="00761C94"/>
    <w:rsid w:val="007629FF"/>
    <w:rsid w:val="00764E47"/>
    <w:rsid w:val="007657F0"/>
    <w:rsid w:val="00770AB2"/>
    <w:rsid w:val="00770BFD"/>
    <w:rsid w:val="00772FED"/>
    <w:rsid w:val="00773837"/>
    <w:rsid w:val="00775502"/>
    <w:rsid w:val="007759E5"/>
    <w:rsid w:val="007770EF"/>
    <w:rsid w:val="007807B6"/>
    <w:rsid w:val="007810B0"/>
    <w:rsid w:val="00782195"/>
    <w:rsid w:val="00785663"/>
    <w:rsid w:val="0078654F"/>
    <w:rsid w:val="0078793F"/>
    <w:rsid w:val="00787BCA"/>
    <w:rsid w:val="00792608"/>
    <w:rsid w:val="00792703"/>
    <w:rsid w:val="00795268"/>
    <w:rsid w:val="007A24B6"/>
    <w:rsid w:val="007A3BB3"/>
    <w:rsid w:val="007A4C67"/>
    <w:rsid w:val="007A50F7"/>
    <w:rsid w:val="007A535E"/>
    <w:rsid w:val="007A6736"/>
    <w:rsid w:val="007A734F"/>
    <w:rsid w:val="007A7CFF"/>
    <w:rsid w:val="007B176E"/>
    <w:rsid w:val="007B21B1"/>
    <w:rsid w:val="007B39F3"/>
    <w:rsid w:val="007B43A0"/>
    <w:rsid w:val="007C5CA7"/>
    <w:rsid w:val="007D1535"/>
    <w:rsid w:val="007D188D"/>
    <w:rsid w:val="007D1AFA"/>
    <w:rsid w:val="007D34B6"/>
    <w:rsid w:val="007D3F12"/>
    <w:rsid w:val="007D3FBF"/>
    <w:rsid w:val="007D4066"/>
    <w:rsid w:val="007D4BE8"/>
    <w:rsid w:val="007D650C"/>
    <w:rsid w:val="007D7C22"/>
    <w:rsid w:val="007E0142"/>
    <w:rsid w:val="007E0D36"/>
    <w:rsid w:val="007E0F98"/>
    <w:rsid w:val="007E4915"/>
    <w:rsid w:val="007E4FEF"/>
    <w:rsid w:val="007E66D0"/>
    <w:rsid w:val="007F10FB"/>
    <w:rsid w:val="007F1A00"/>
    <w:rsid w:val="007F2170"/>
    <w:rsid w:val="007F2866"/>
    <w:rsid w:val="007F340A"/>
    <w:rsid w:val="007F4DDC"/>
    <w:rsid w:val="007F6036"/>
    <w:rsid w:val="00801BA4"/>
    <w:rsid w:val="00802AAA"/>
    <w:rsid w:val="00802DC4"/>
    <w:rsid w:val="00803D23"/>
    <w:rsid w:val="00803DED"/>
    <w:rsid w:val="00806100"/>
    <w:rsid w:val="00806782"/>
    <w:rsid w:val="00811688"/>
    <w:rsid w:val="00812A3C"/>
    <w:rsid w:val="00812B12"/>
    <w:rsid w:val="008132A4"/>
    <w:rsid w:val="008144CF"/>
    <w:rsid w:val="00815351"/>
    <w:rsid w:val="008168CE"/>
    <w:rsid w:val="00816C33"/>
    <w:rsid w:val="008176BD"/>
    <w:rsid w:val="008179EB"/>
    <w:rsid w:val="0082164D"/>
    <w:rsid w:val="008216BF"/>
    <w:rsid w:val="008220B1"/>
    <w:rsid w:val="0082240A"/>
    <w:rsid w:val="008240C6"/>
    <w:rsid w:val="00824119"/>
    <w:rsid w:val="008279E3"/>
    <w:rsid w:val="00830382"/>
    <w:rsid w:val="00833B6F"/>
    <w:rsid w:val="00835395"/>
    <w:rsid w:val="00836B9C"/>
    <w:rsid w:val="00840A8C"/>
    <w:rsid w:val="00843FF5"/>
    <w:rsid w:val="008448C4"/>
    <w:rsid w:val="008451DD"/>
    <w:rsid w:val="00845533"/>
    <w:rsid w:val="008475B1"/>
    <w:rsid w:val="0085008D"/>
    <w:rsid w:val="0085243A"/>
    <w:rsid w:val="00852823"/>
    <w:rsid w:val="0085332A"/>
    <w:rsid w:val="00854A0E"/>
    <w:rsid w:val="00856D95"/>
    <w:rsid w:val="00856F11"/>
    <w:rsid w:val="00857198"/>
    <w:rsid w:val="00857706"/>
    <w:rsid w:val="00860447"/>
    <w:rsid w:val="00860A00"/>
    <w:rsid w:val="0086251B"/>
    <w:rsid w:val="00865564"/>
    <w:rsid w:val="00866C69"/>
    <w:rsid w:val="0086744B"/>
    <w:rsid w:val="00874CA0"/>
    <w:rsid w:val="008768FC"/>
    <w:rsid w:val="00876DAB"/>
    <w:rsid w:val="00880E62"/>
    <w:rsid w:val="00881070"/>
    <w:rsid w:val="00885BDD"/>
    <w:rsid w:val="00887ADC"/>
    <w:rsid w:val="00887AE1"/>
    <w:rsid w:val="008900AC"/>
    <w:rsid w:val="008907E4"/>
    <w:rsid w:val="00890EB7"/>
    <w:rsid w:val="00892A5F"/>
    <w:rsid w:val="0089611C"/>
    <w:rsid w:val="008A04E0"/>
    <w:rsid w:val="008A09B5"/>
    <w:rsid w:val="008A1B9B"/>
    <w:rsid w:val="008A21C3"/>
    <w:rsid w:val="008A3024"/>
    <w:rsid w:val="008A3778"/>
    <w:rsid w:val="008B06DE"/>
    <w:rsid w:val="008B1BC2"/>
    <w:rsid w:val="008B3503"/>
    <w:rsid w:val="008C0169"/>
    <w:rsid w:val="008C28F7"/>
    <w:rsid w:val="008C2CE9"/>
    <w:rsid w:val="008C370B"/>
    <w:rsid w:val="008C6C59"/>
    <w:rsid w:val="008D15FE"/>
    <w:rsid w:val="008D33F3"/>
    <w:rsid w:val="008D3E5D"/>
    <w:rsid w:val="008D68A6"/>
    <w:rsid w:val="008D6DC0"/>
    <w:rsid w:val="008D73E3"/>
    <w:rsid w:val="008D77B8"/>
    <w:rsid w:val="008E322F"/>
    <w:rsid w:val="008E3DF0"/>
    <w:rsid w:val="008E477C"/>
    <w:rsid w:val="008E5B96"/>
    <w:rsid w:val="008F0D11"/>
    <w:rsid w:val="008F1FC5"/>
    <w:rsid w:val="008F2A41"/>
    <w:rsid w:val="008F57BA"/>
    <w:rsid w:val="008F794A"/>
    <w:rsid w:val="009038EE"/>
    <w:rsid w:val="009061DB"/>
    <w:rsid w:val="00906554"/>
    <w:rsid w:val="009107D3"/>
    <w:rsid w:val="00910C89"/>
    <w:rsid w:val="00911A43"/>
    <w:rsid w:val="00914935"/>
    <w:rsid w:val="00914E8C"/>
    <w:rsid w:val="009161FE"/>
    <w:rsid w:val="00921A9A"/>
    <w:rsid w:val="00923CB5"/>
    <w:rsid w:val="00923DCE"/>
    <w:rsid w:val="0092615C"/>
    <w:rsid w:val="00927E38"/>
    <w:rsid w:val="00930B69"/>
    <w:rsid w:val="00930F8B"/>
    <w:rsid w:val="009320A7"/>
    <w:rsid w:val="00932121"/>
    <w:rsid w:val="009327CC"/>
    <w:rsid w:val="00933035"/>
    <w:rsid w:val="00933A06"/>
    <w:rsid w:val="009373D0"/>
    <w:rsid w:val="009400A3"/>
    <w:rsid w:val="009406C6"/>
    <w:rsid w:val="00942A7A"/>
    <w:rsid w:val="009440A4"/>
    <w:rsid w:val="00945775"/>
    <w:rsid w:val="00946C44"/>
    <w:rsid w:val="00947DA7"/>
    <w:rsid w:val="00953F34"/>
    <w:rsid w:val="0095558B"/>
    <w:rsid w:val="009555DB"/>
    <w:rsid w:val="0096101D"/>
    <w:rsid w:val="00965521"/>
    <w:rsid w:val="00967A8C"/>
    <w:rsid w:val="00971014"/>
    <w:rsid w:val="009710D5"/>
    <w:rsid w:val="00971267"/>
    <w:rsid w:val="00974B59"/>
    <w:rsid w:val="00977508"/>
    <w:rsid w:val="009809DF"/>
    <w:rsid w:val="009820FF"/>
    <w:rsid w:val="00982D60"/>
    <w:rsid w:val="00984613"/>
    <w:rsid w:val="00986A92"/>
    <w:rsid w:val="009925AD"/>
    <w:rsid w:val="00994C27"/>
    <w:rsid w:val="00997362"/>
    <w:rsid w:val="009979C7"/>
    <w:rsid w:val="00997AEB"/>
    <w:rsid w:val="00997EF4"/>
    <w:rsid w:val="00997F0A"/>
    <w:rsid w:val="009A0D90"/>
    <w:rsid w:val="009A3392"/>
    <w:rsid w:val="009A4401"/>
    <w:rsid w:val="009A44B8"/>
    <w:rsid w:val="009A4660"/>
    <w:rsid w:val="009A55A2"/>
    <w:rsid w:val="009A5B79"/>
    <w:rsid w:val="009A617B"/>
    <w:rsid w:val="009B1693"/>
    <w:rsid w:val="009B1933"/>
    <w:rsid w:val="009B486A"/>
    <w:rsid w:val="009B5106"/>
    <w:rsid w:val="009B70A5"/>
    <w:rsid w:val="009C1057"/>
    <w:rsid w:val="009C1323"/>
    <w:rsid w:val="009C37E2"/>
    <w:rsid w:val="009C4B56"/>
    <w:rsid w:val="009C4E8F"/>
    <w:rsid w:val="009C6456"/>
    <w:rsid w:val="009C6628"/>
    <w:rsid w:val="009D01F7"/>
    <w:rsid w:val="009D392D"/>
    <w:rsid w:val="009D4DF1"/>
    <w:rsid w:val="009D5D8F"/>
    <w:rsid w:val="009E02CA"/>
    <w:rsid w:val="009E0342"/>
    <w:rsid w:val="009E37D3"/>
    <w:rsid w:val="009F0226"/>
    <w:rsid w:val="009F3957"/>
    <w:rsid w:val="009F65B9"/>
    <w:rsid w:val="009F7088"/>
    <w:rsid w:val="009F7447"/>
    <w:rsid w:val="009F7497"/>
    <w:rsid w:val="00A000CE"/>
    <w:rsid w:val="00A01340"/>
    <w:rsid w:val="00A03D40"/>
    <w:rsid w:val="00A0595F"/>
    <w:rsid w:val="00A06894"/>
    <w:rsid w:val="00A103D5"/>
    <w:rsid w:val="00A11B8C"/>
    <w:rsid w:val="00A13BC6"/>
    <w:rsid w:val="00A14800"/>
    <w:rsid w:val="00A14CF6"/>
    <w:rsid w:val="00A14E93"/>
    <w:rsid w:val="00A15625"/>
    <w:rsid w:val="00A16569"/>
    <w:rsid w:val="00A16949"/>
    <w:rsid w:val="00A20F97"/>
    <w:rsid w:val="00A21DF6"/>
    <w:rsid w:val="00A21EA3"/>
    <w:rsid w:val="00A21FEF"/>
    <w:rsid w:val="00A233F2"/>
    <w:rsid w:val="00A24F35"/>
    <w:rsid w:val="00A2648F"/>
    <w:rsid w:val="00A278FD"/>
    <w:rsid w:val="00A330F8"/>
    <w:rsid w:val="00A34F10"/>
    <w:rsid w:val="00A36366"/>
    <w:rsid w:val="00A37652"/>
    <w:rsid w:val="00A37F0F"/>
    <w:rsid w:val="00A40D2D"/>
    <w:rsid w:val="00A458EF"/>
    <w:rsid w:val="00A46E48"/>
    <w:rsid w:val="00A50A7F"/>
    <w:rsid w:val="00A5235D"/>
    <w:rsid w:val="00A54F80"/>
    <w:rsid w:val="00A55375"/>
    <w:rsid w:val="00A558D4"/>
    <w:rsid w:val="00A57109"/>
    <w:rsid w:val="00A60875"/>
    <w:rsid w:val="00A61DFB"/>
    <w:rsid w:val="00A61F0F"/>
    <w:rsid w:val="00A62DBD"/>
    <w:rsid w:val="00A631F1"/>
    <w:rsid w:val="00A6346F"/>
    <w:rsid w:val="00A63AC0"/>
    <w:rsid w:val="00A653A7"/>
    <w:rsid w:val="00A6697D"/>
    <w:rsid w:val="00A6720A"/>
    <w:rsid w:val="00A67529"/>
    <w:rsid w:val="00A67900"/>
    <w:rsid w:val="00A71F03"/>
    <w:rsid w:val="00A72A10"/>
    <w:rsid w:val="00A72D3E"/>
    <w:rsid w:val="00A7308C"/>
    <w:rsid w:val="00A73727"/>
    <w:rsid w:val="00A73BBA"/>
    <w:rsid w:val="00A73DAD"/>
    <w:rsid w:val="00A73F95"/>
    <w:rsid w:val="00A75DCD"/>
    <w:rsid w:val="00A768E3"/>
    <w:rsid w:val="00A80D8A"/>
    <w:rsid w:val="00A8422F"/>
    <w:rsid w:val="00A850EE"/>
    <w:rsid w:val="00A85744"/>
    <w:rsid w:val="00A85C91"/>
    <w:rsid w:val="00A85D73"/>
    <w:rsid w:val="00A87C44"/>
    <w:rsid w:val="00A90954"/>
    <w:rsid w:val="00A922CF"/>
    <w:rsid w:val="00A92B22"/>
    <w:rsid w:val="00A92DDE"/>
    <w:rsid w:val="00A92E47"/>
    <w:rsid w:val="00A931DA"/>
    <w:rsid w:val="00A93C3A"/>
    <w:rsid w:val="00A95D18"/>
    <w:rsid w:val="00A97431"/>
    <w:rsid w:val="00A97FF4"/>
    <w:rsid w:val="00AA0C5D"/>
    <w:rsid w:val="00AA581B"/>
    <w:rsid w:val="00AB3370"/>
    <w:rsid w:val="00AC0681"/>
    <w:rsid w:val="00AC770F"/>
    <w:rsid w:val="00AC7E5B"/>
    <w:rsid w:val="00AD13A6"/>
    <w:rsid w:val="00AD18C7"/>
    <w:rsid w:val="00AD313E"/>
    <w:rsid w:val="00AD58DB"/>
    <w:rsid w:val="00AD6C19"/>
    <w:rsid w:val="00AD7871"/>
    <w:rsid w:val="00AD78A1"/>
    <w:rsid w:val="00AD7F4F"/>
    <w:rsid w:val="00AE27AA"/>
    <w:rsid w:val="00AE39CB"/>
    <w:rsid w:val="00AE4005"/>
    <w:rsid w:val="00AF0020"/>
    <w:rsid w:val="00AF0BC1"/>
    <w:rsid w:val="00AF2AA7"/>
    <w:rsid w:val="00AF38A8"/>
    <w:rsid w:val="00AF4825"/>
    <w:rsid w:val="00AF4EAB"/>
    <w:rsid w:val="00AF62A0"/>
    <w:rsid w:val="00B01255"/>
    <w:rsid w:val="00B01C2E"/>
    <w:rsid w:val="00B02778"/>
    <w:rsid w:val="00B03C4E"/>
    <w:rsid w:val="00B06D88"/>
    <w:rsid w:val="00B1008D"/>
    <w:rsid w:val="00B109E4"/>
    <w:rsid w:val="00B11550"/>
    <w:rsid w:val="00B1156B"/>
    <w:rsid w:val="00B11EE3"/>
    <w:rsid w:val="00B1286A"/>
    <w:rsid w:val="00B14ED4"/>
    <w:rsid w:val="00B15AB0"/>
    <w:rsid w:val="00B15F18"/>
    <w:rsid w:val="00B1605F"/>
    <w:rsid w:val="00B215A5"/>
    <w:rsid w:val="00B2200B"/>
    <w:rsid w:val="00B2222C"/>
    <w:rsid w:val="00B22DD8"/>
    <w:rsid w:val="00B2312B"/>
    <w:rsid w:val="00B23A3B"/>
    <w:rsid w:val="00B25C13"/>
    <w:rsid w:val="00B26D00"/>
    <w:rsid w:val="00B301EA"/>
    <w:rsid w:val="00B331B7"/>
    <w:rsid w:val="00B365A9"/>
    <w:rsid w:val="00B36697"/>
    <w:rsid w:val="00B401B1"/>
    <w:rsid w:val="00B408D7"/>
    <w:rsid w:val="00B40CB6"/>
    <w:rsid w:val="00B4136C"/>
    <w:rsid w:val="00B41F21"/>
    <w:rsid w:val="00B44FA0"/>
    <w:rsid w:val="00B45250"/>
    <w:rsid w:val="00B45280"/>
    <w:rsid w:val="00B53DF7"/>
    <w:rsid w:val="00B54DB7"/>
    <w:rsid w:val="00B574F1"/>
    <w:rsid w:val="00B60778"/>
    <w:rsid w:val="00B617CA"/>
    <w:rsid w:val="00B62374"/>
    <w:rsid w:val="00B64683"/>
    <w:rsid w:val="00B67E4F"/>
    <w:rsid w:val="00B67F43"/>
    <w:rsid w:val="00B70493"/>
    <w:rsid w:val="00B7156B"/>
    <w:rsid w:val="00B71938"/>
    <w:rsid w:val="00B71AF8"/>
    <w:rsid w:val="00B7681B"/>
    <w:rsid w:val="00B76B86"/>
    <w:rsid w:val="00B8431F"/>
    <w:rsid w:val="00B84717"/>
    <w:rsid w:val="00B84EF0"/>
    <w:rsid w:val="00B878E6"/>
    <w:rsid w:val="00B87EDB"/>
    <w:rsid w:val="00B908E5"/>
    <w:rsid w:val="00B92EA1"/>
    <w:rsid w:val="00B941F0"/>
    <w:rsid w:val="00B94C23"/>
    <w:rsid w:val="00B96FA8"/>
    <w:rsid w:val="00B97337"/>
    <w:rsid w:val="00B97395"/>
    <w:rsid w:val="00B97C55"/>
    <w:rsid w:val="00BA1B23"/>
    <w:rsid w:val="00BA1B53"/>
    <w:rsid w:val="00BA2914"/>
    <w:rsid w:val="00BA2CBE"/>
    <w:rsid w:val="00BA36B9"/>
    <w:rsid w:val="00BA6735"/>
    <w:rsid w:val="00BA6D74"/>
    <w:rsid w:val="00BB1C55"/>
    <w:rsid w:val="00BB453F"/>
    <w:rsid w:val="00BB496E"/>
    <w:rsid w:val="00BB4DB5"/>
    <w:rsid w:val="00BB533E"/>
    <w:rsid w:val="00BB6BBD"/>
    <w:rsid w:val="00BC1DCE"/>
    <w:rsid w:val="00BC32B9"/>
    <w:rsid w:val="00BC4C2E"/>
    <w:rsid w:val="00BC66C6"/>
    <w:rsid w:val="00BC6847"/>
    <w:rsid w:val="00BC79FA"/>
    <w:rsid w:val="00BD18AC"/>
    <w:rsid w:val="00BD28AA"/>
    <w:rsid w:val="00BD31E2"/>
    <w:rsid w:val="00BD484B"/>
    <w:rsid w:val="00BD5719"/>
    <w:rsid w:val="00BD5D14"/>
    <w:rsid w:val="00BE3F22"/>
    <w:rsid w:val="00BE5728"/>
    <w:rsid w:val="00BE5DA2"/>
    <w:rsid w:val="00BF020B"/>
    <w:rsid w:val="00BF06D2"/>
    <w:rsid w:val="00BF38F2"/>
    <w:rsid w:val="00BF3A37"/>
    <w:rsid w:val="00BF4C11"/>
    <w:rsid w:val="00BF5934"/>
    <w:rsid w:val="00BF6041"/>
    <w:rsid w:val="00BF67B6"/>
    <w:rsid w:val="00C02309"/>
    <w:rsid w:val="00C05308"/>
    <w:rsid w:val="00C10D5C"/>
    <w:rsid w:val="00C119C8"/>
    <w:rsid w:val="00C13EB3"/>
    <w:rsid w:val="00C147D4"/>
    <w:rsid w:val="00C154EA"/>
    <w:rsid w:val="00C15A87"/>
    <w:rsid w:val="00C23916"/>
    <w:rsid w:val="00C23941"/>
    <w:rsid w:val="00C267D0"/>
    <w:rsid w:val="00C2689A"/>
    <w:rsid w:val="00C27270"/>
    <w:rsid w:val="00C31268"/>
    <w:rsid w:val="00C31D79"/>
    <w:rsid w:val="00C3217C"/>
    <w:rsid w:val="00C32DDF"/>
    <w:rsid w:val="00C331A2"/>
    <w:rsid w:val="00C33D13"/>
    <w:rsid w:val="00C33DC3"/>
    <w:rsid w:val="00C33EDB"/>
    <w:rsid w:val="00C35FA9"/>
    <w:rsid w:val="00C36CDE"/>
    <w:rsid w:val="00C3716A"/>
    <w:rsid w:val="00C40DBC"/>
    <w:rsid w:val="00C4160D"/>
    <w:rsid w:val="00C4494F"/>
    <w:rsid w:val="00C4508E"/>
    <w:rsid w:val="00C45FD5"/>
    <w:rsid w:val="00C46F48"/>
    <w:rsid w:val="00C51193"/>
    <w:rsid w:val="00C51F2A"/>
    <w:rsid w:val="00C53057"/>
    <w:rsid w:val="00C530F8"/>
    <w:rsid w:val="00C53C4E"/>
    <w:rsid w:val="00C636F5"/>
    <w:rsid w:val="00C64BDB"/>
    <w:rsid w:val="00C654DE"/>
    <w:rsid w:val="00C65FE6"/>
    <w:rsid w:val="00C665EB"/>
    <w:rsid w:val="00C66969"/>
    <w:rsid w:val="00C6742C"/>
    <w:rsid w:val="00C70603"/>
    <w:rsid w:val="00C71F25"/>
    <w:rsid w:val="00C745E0"/>
    <w:rsid w:val="00C75BDD"/>
    <w:rsid w:val="00C773D3"/>
    <w:rsid w:val="00C80076"/>
    <w:rsid w:val="00C80850"/>
    <w:rsid w:val="00C80C48"/>
    <w:rsid w:val="00C830D8"/>
    <w:rsid w:val="00C85953"/>
    <w:rsid w:val="00C86A9A"/>
    <w:rsid w:val="00C86FE8"/>
    <w:rsid w:val="00C871DE"/>
    <w:rsid w:val="00C907E3"/>
    <w:rsid w:val="00C90CA7"/>
    <w:rsid w:val="00C91688"/>
    <w:rsid w:val="00C92743"/>
    <w:rsid w:val="00C97DC7"/>
    <w:rsid w:val="00CA1F13"/>
    <w:rsid w:val="00CA3C5A"/>
    <w:rsid w:val="00CA7B73"/>
    <w:rsid w:val="00CA7CE1"/>
    <w:rsid w:val="00CB0223"/>
    <w:rsid w:val="00CB29F0"/>
    <w:rsid w:val="00CB3EAD"/>
    <w:rsid w:val="00CB4EE8"/>
    <w:rsid w:val="00CB528F"/>
    <w:rsid w:val="00CB5DD0"/>
    <w:rsid w:val="00CB7D6E"/>
    <w:rsid w:val="00CC01D7"/>
    <w:rsid w:val="00CC4661"/>
    <w:rsid w:val="00CC6F55"/>
    <w:rsid w:val="00CC7DEE"/>
    <w:rsid w:val="00CD1A09"/>
    <w:rsid w:val="00CD2364"/>
    <w:rsid w:val="00CD5590"/>
    <w:rsid w:val="00CD5821"/>
    <w:rsid w:val="00CD6EF0"/>
    <w:rsid w:val="00CD7282"/>
    <w:rsid w:val="00CE0BB8"/>
    <w:rsid w:val="00CE1A46"/>
    <w:rsid w:val="00CE2EF0"/>
    <w:rsid w:val="00CE39E7"/>
    <w:rsid w:val="00CE3CE5"/>
    <w:rsid w:val="00CE580F"/>
    <w:rsid w:val="00CF1B33"/>
    <w:rsid w:val="00CF208A"/>
    <w:rsid w:val="00CF5B1F"/>
    <w:rsid w:val="00D0425C"/>
    <w:rsid w:val="00D04458"/>
    <w:rsid w:val="00D04BF2"/>
    <w:rsid w:val="00D121BB"/>
    <w:rsid w:val="00D17851"/>
    <w:rsid w:val="00D2065D"/>
    <w:rsid w:val="00D22190"/>
    <w:rsid w:val="00D22674"/>
    <w:rsid w:val="00D2362A"/>
    <w:rsid w:val="00D2447F"/>
    <w:rsid w:val="00D26392"/>
    <w:rsid w:val="00D301B6"/>
    <w:rsid w:val="00D31187"/>
    <w:rsid w:val="00D33440"/>
    <w:rsid w:val="00D34B08"/>
    <w:rsid w:val="00D36B92"/>
    <w:rsid w:val="00D4226C"/>
    <w:rsid w:val="00D42612"/>
    <w:rsid w:val="00D451E1"/>
    <w:rsid w:val="00D500B3"/>
    <w:rsid w:val="00D5017F"/>
    <w:rsid w:val="00D5050A"/>
    <w:rsid w:val="00D50D69"/>
    <w:rsid w:val="00D520DE"/>
    <w:rsid w:val="00D52421"/>
    <w:rsid w:val="00D52D79"/>
    <w:rsid w:val="00D52F35"/>
    <w:rsid w:val="00D5662F"/>
    <w:rsid w:val="00D60A9C"/>
    <w:rsid w:val="00D624E5"/>
    <w:rsid w:val="00D62E30"/>
    <w:rsid w:val="00D64193"/>
    <w:rsid w:val="00D65611"/>
    <w:rsid w:val="00D66519"/>
    <w:rsid w:val="00D71245"/>
    <w:rsid w:val="00D719D0"/>
    <w:rsid w:val="00D7319B"/>
    <w:rsid w:val="00D74F36"/>
    <w:rsid w:val="00D75593"/>
    <w:rsid w:val="00D756FC"/>
    <w:rsid w:val="00D76587"/>
    <w:rsid w:val="00D777C3"/>
    <w:rsid w:val="00D804F7"/>
    <w:rsid w:val="00D80E4C"/>
    <w:rsid w:val="00D817F0"/>
    <w:rsid w:val="00D87B90"/>
    <w:rsid w:val="00D905B5"/>
    <w:rsid w:val="00D90C07"/>
    <w:rsid w:val="00D910A8"/>
    <w:rsid w:val="00D91EF4"/>
    <w:rsid w:val="00D92D17"/>
    <w:rsid w:val="00D92E72"/>
    <w:rsid w:val="00D95934"/>
    <w:rsid w:val="00DA099E"/>
    <w:rsid w:val="00DA45F9"/>
    <w:rsid w:val="00DA5201"/>
    <w:rsid w:val="00DA6CC5"/>
    <w:rsid w:val="00DA7358"/>
    <w:rsid w:val="00DB0927"/>
    <w:rsid w:val="00DB0ABA"/>
    <w:rsid w:val="00DB238E"/>
    <w:rsid w:val="00DB28D7"/>
    <w:rsid w:val="00DB410D"/>
    <w:rsid w:val="00DB656A"/>
    <w:rsid w:val="00DB68D2"/>
    <w:rsid w:val="00DC1614"/>
    <w:rsid w:val="00DC4C37"/>
    <w:rsid w:val="00DC6E61"/>
    <w:rsid w:val="00DC77C3"/>
    <w:rsid w:val="00DC78C6"/>
    <w:rsid w:val="00DD0C26"/>
    <w:rsid w:val="00DD18F5"/>
    <w:rsid w:val="00DD26E2"/>
    <w:rsid w:val="00DD4E62"/>
    <w:rsid w:val="00DD75FF"/>
    <w:rsid w:val="00DE0D68"/>
    <w:rsid w:val="00DE4D93"/>
    <w:rsid w:val="00DE6034"/>
    <w:rsid w:val="00DE73B4"/>
    <w:rsid w:val="00DE7C2A"/>
    <w:rsid w:val="00DF36F8"/>
    <w:rsid w:val="00DF69F2"/>
    <w:rsid w:val="00E03138"/>
    <w:rsid w:val="00E03183"/>
    <w:rsid w:val="00E037F8"/>
    <w:rsid w:val="00E05330"/>
    <w:rsid w:val="00E058D1"/>
    <w:rsid w:val="00E06956"/>
    <w:rsid w:val="00E10E54"/>
    <w:rsid w:val="00E12FB0"/>
    <w:rsid w:val="00E14053"/>
    <w:rsid w:val="00E14772"/>
    <w:rsid w:val="00E210A0"/>
    <w:rsid w:val="00E233AE"/>
    <w:rsid w:val="00E23A5E"/>
    <w:rsid w:val="00E240B4"/>
    <w:rsid w:val="00E2445F"/>
    <w:rsid w:val="00E24AC9"/>
    <w:rsid w:val="00E25CCF"/>
    <w:rsid w:val="00E27B30"/>
    <w:rsid w:val="00E27BF0"/>
    <w:rsid w:val="00E31E14"/>
    <w:rsid w:val="00E32328"/>
    <w:rsid w:val="00E343E3"/>
    <w:rsid w:val="00E345DA"/>
    <w:rsid w:val="00E36C86"/>
    <w:rsid w:val="00E36DB8"/>
    <w:rsid w:val="00E37519"/>
    <w:rsid w:val="00E40568"/>
    <w:rsid w:val="00E40A50"/>
    <w:rsid w:val="00E41172"/>
    <w:rsid w:val="00E43A59"/>
    <w:rsid w:val="00E441EF"/>
    <w:rsid w:val="00E44657"/>
    <w:rsid w:val="00E46209"/>
    <w:rsid w:val="00E47F61"/>
    <w:rsid w:val="00E50DD9"/>
    <w:rsid w:val="00E518B3"/>
    <w:rsid w:val="00E5261E"/>
    <w:rsid w:val="00E54812"/>
    <w:rsid w:val="00E550E6"/>
    <w:rsid w:val="00E56031"/>
    <w:rsid w:val="00E5627C"/>
    <w:rsid w:val="00E615DB"/>
    <w:rsid w:val="00E64A39"/>
    <w:rsid w:val="00E65484"/>
    <w:rsid w:val="00E65AE8"/>
    <w:rsid w:val="00E660DD"/>
    <w:rsid w:val="00E661C6"/>
    <w:rsid w:val="00E67690"/>
    <w:rsid w:val="00E718B4"/>
    <w:rsid w:val="00E723B2"/>
    <w:rsid w:val="00E73963"/>
    <w:rsid w:val="00E76741"/>
    <w:rsid w:val="00E80730"/>
    <w:rsid w:val="00E80DD5"/>
    <w:rsid w:val="00E815E2"/>
    <w:rsid w:val="00E82CC9"/>
    <w:rsid w:val="00E84F29"/>
    <w:rsid w:val="00E854A1"/>
    <w:rsid w:val="00E85938"/>
    <w:rsid w:val="00E90DA5"/>
    <w:rsid w:val="00E91DA7"/>
    <w:rsid w:val="00E9402B"/>
    <w:rsid w:val="00E95029"/>
    <w:rsid w:val="00EA0C91"/>
    <w:rsid w:val="00EA3878"/>
    <w:rsid w:val="00EA5B21"/>
    <w:rsid w:val="00EA5B2C"/>
    <w:rsid w:val="00EB2533"/>
    <w:rsid w:val="00EB2BC7"/>
    <w:rsid w:val="00EB468E"/>
    <w:rsid w:val="00EB5A43"/>
    <w:rsid w:val="00EB5EA2"/>
    <w:rsid w:val="00EB62D0"/>
    <w:rsid w:val="00EB6550"/>
    <w:rsid w:val="00EB6F45"/>
    <w:rsid w:val="00EC3625"/>
    <w:rsid w:val="00EC3765"/>
    <w:rsid w:val="00EC6413"/>
    <w:rsid w:val="00ED0017"/>
    <w:rsid w:val="00ED0C18"/>
    <w:rsid w:val="00ED1296"/>
    <w:rsid w:val="00ED2F97"/>
    <w:rsid w:val="00ED45B6"/>
    <w:rsid w:val="00ED543E"/>
    <w:rsid w:val="00ED74F8"/>
    <w:rsid w:val="00ED7AE9"/>
    <w:rsid w:val="00EE00F7"/>
    <w:rsid w:val="00EE185F"/>
    <w:rsid w:val="00EE1E97"/>
    <w:rsid w:val="00EE4F85"/>
    <w:rsid w:val="00EE5388"/>
    <w:rsid w:val="00EE5639"/>
    <w:rsid w:val="00EE6989"/>
    <w:rsid w:val="00EE705A"/>
    <w:rsid w:val="00EE77D6"/>
    <w:rsid w:val="00EF091F"/>
    <w:rsid w:val="00EF23BB"/>
    <w:rsid w:val="00EF5B21"/>
    <w:rsid w:val="00EF68C9"/>
    <w:rsid w:val="00EF76CA"/>
    <w:rsid w:val="00F01C37"/>
    <w:rsid w:val="00F04759"/>
    <w:rsid w:val="00F04EF0"/>
    <w:rsid w:val="00F06005"/>
    <w:rsid w:val="00F06878"/>
    <w:rsid w:val="00F06A51"/>
    <w:rsid w:val="00F07B0E"/>
    <w:rsid w:val="00F1104C"/>
    <w:rsid w:val="00F1177A"/>
    <w:rsid w:val="00F119B5"/>
    <w:rsid w:val="00F123A1"/>
    <w:rsid w:val="00F12537"/>
    <w:rsid w:val="00F12DC8"/>
    <w:rsid w:val="00F12E12"/>
    <w:rsid w:val="00F134FB"/>
    <w:rsid w:val="00F169B7"/>
    <w:rsid w:val="00F16CD0"/>
    <w:rsid w:val="00F178BF"/>
    <w:rsid w:val="00F23733"/>
    <w:rsid w:val="00F23A34"/>
    <w:rsid w:val="00F23E3F"/>
    <w:rsid w:val="00F23E6F"/>
    <w:rsid w:val="00F25611"/>
    <w:rsid w:val="00F25AA3"/>
    <w:rsid w:val="00F26557"/>
    <w:rsid w:val="00F3143D"/>
    <w:rsid w:val="00F3213A"/>
    <w:rsid w:val="00F32CA5"/>
    <w:rsid w:val="00F3305B"/>
    <w:rsid w:val="00F33BD7"/>
    <w:rsid w:val="00F362DF"/>
    <w:rsid w:val="00F36EAA"/>
    <w:rsid w:val="00F370AB"/>
    <w:rsid w:val="00F3722E"/>
    <w:rsid w:val="00F454F5"/>
    <w:rsid w:val="00F4642F"/>
    <w:rsid w:val="00F51836"/>
    <w:rsid w:val="00F527E5"/>
    <w:rsid w:val="00F52B6F"/>
    <w:rsid w:val="00F55539"/>
    <w:rsid w:val="00F56AD1"/>
    <w:rsid w:val="00F611EE"/>
    <w:rsid w:val="00F614A8"/>
    <w:rsid w:val="00F62CC7"/>
    <w:rsid w:val="00F63CB9"/>
    <w:rsid w:val="00F701B7"/>
    <w:rsid w:val="00F72139"/>
    <w:rsid w:val="00F721B0"/>
    <w:rsid w:val="00F72EC1"/>
    <w:rsid w:val="00F732ED"/>
    <w:rsid w:val="00F737A4"/>
    <w:rsid w:val="00F73855"/>
    <w:rsid w:val="00F773CA"/>
    <w:rsid w:val="00F812D8"/>
    <w:rsid w:val="00F81A12"/>
    <w:rsid w:val="00F829A1"/>
    <w:rsid w:val="00F83793"/>
    <w:rsid w:val="00F84E1F"/>
    <w:rsid w:val="00F87B29"/>
    <w:rsid w:val="00F919C3"/>
    <w:rsid w:val="00F91F44"/>
    <w:rsid w:val="00F920CA"/>
    <w:rsid w:val="00F958A6"/>
    <w:rsid w:val="00F96E6B"/>
    <w:rsid w:val="00FA071F"/>
    <w:rsid w:val="00FA14C9"/>
    <w:rsid w:val="00FA1769"/>
    <w:rsid w:val="00FA2A73"/>
    <w:rsid w:val="00FA2F20"/>
    <w:rsid w:val="00FA42C8"/>
    <w:rsid w:val="00FA4E16"/>
    <w:rsid w:val="00FA6BF9"/>
    <w:rsid w:val="00FA6F65"/>
    <w:rsid w:val="00FA74FE"/>
    <w:rsid w:val="00FB2B8A"/>
    <w:rsid w:val="00FB313D"/>
    <w:rsid w:val="00FB355A"/>
    <w:rsid w:val="00FB41F7"/>
    <w:rsid w:val="00FC1E6E"/>
    <w:rsid w:val="00FC3861"/>
    <w:rsid w:val="00FC3AF9"/>
    <w:rsid w:val="00FC617E"/>
    <w:rsid w:val="00FD29CC"/>
    <w:rsid w:val="00FD48E8"/>
    <w:rsid w:val="00FD503D"/>
    <w:rsid w:val="00FD659B"/>
    <w:rsid w:val="00FE0A69"/>
    <w:rsid w:val="00FE1C02"/>
    <w:rsid w:val="00FE3A9E"/>
    <w:rsid w:val="00FE43DC"/>
    <w:rsid w:val="00FE4480"/>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65FFD"/>
  <w15:chartTrackingRefBased/>
  <w15:docId w15:val="{30DCBD45-3977-498F-AD90-C4A43153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B4E"/>
    <w:rPr>
      <w:rFonts w:ascii="Arial" w:hAnsi="Arial"/>
      <w:sz w:val="22"/>
      <w:szCs w:val="24"/>
    </w:rPr>
  </w:style>
  <w:style w:type="paragraph" w:styleId="Heading1">
    <w:name w:val="heading 1"/>
    <w:basedOn w:val="Normal"/>
    <w:next w:val="Normal"/>
    <w:qFormat/>
    <w:rsid w:val="00A85744"/>
    <w:pPr>
      <w:keepNext/>
      <w:jc w:val="center"/>
      <w:outlineLvl w:val="0"/>
    </w:pPr>
    <w:rPr>
      <w:rFonts w:cs="Arial"/>
      <w:b/>
      <w:sz w:val="40"/>
      <w:szCs w:val="52"/>
      <w:u w:val="single"/>
    </w:rPr>
  </w:style>
  <w:style w:type="paragraph" w:styleId="Heading2">
    <w:name w:val="heading 2"/>
    <w:basedOn w:val="Normal"/>
    <w:next w:val="Normal"/>
    <w:link w:val="Heading2Char"/>
    <w:qFormat/>
    <w:rsid w:val="00056689"/>
    <w:pPr>
      <w:keepNext/>
      <w:outlineLvl w:val="1"/>
    </w:pPr>
    <w:rPr>
      <w:rFonts w:cs="Arial"/>
      <w:b/>
      <w:sz w:val="28"/>
      <w:u w:val="single"/>
    </w:rPr>
  </w:style>
  <w:style w:type="paragraph" w:styleId="Heading3">
    <w:name w:val="heading 3"/>
    <w:basedOn w:val="Normal"/>
    <w:next w:val="Normal"/>
    <w:qFormat/>
    <w:rsid w:val="00B15AB0"/>
    <w:pPr>
      <w:keepNext/>
      <w:outlineLvl w:val="2"/>
    </w:pPr>
    <w:rPr>
      <w:rFonts w:ascii="Bookman Old Style" w:hAnsi="Bookman Old Style"/>
      <w:sz w:val="20"/>
      <w:szCs w:val="20"/>
      <w:u w:val="single"/>
    </w:rPr>
  </w:style>
  <w:style w:type="paragraph" w:styleId="Heading4">
    <w:name w:val="heading 4"/>
    <w:basedOn w:val="Normal"/>
    <w:next w:val="Normal"/>
    <w:qFormat/>
    <w:rsid w:val="00B15AB0"/>
    <w:pPr>
      <w:keepNext/>
      <w:outlineLvl w:val="3"/>
    </w:pPr>
    <w:rPr>
      <w:b/>
      <w:sz w:val="20"/>
      <w:szCs w:val="20"/>
    </w:rPr>
  </w:style>
  <w:style w:type="paragraph" w:styleId="Heading5">
    <w:name w:val="heading 5"/>
    <w:basedOn w:val="Normal"/>
    <w:next w:val="Normal"/>
    <w:qFormat/>
    <w:rsid w:val="00B15AB0"/>
    <w:pPr>
      <w:keepNext/>
      <w:jc w:val="center"/>
      <w:outlineLvl w:val="4"/>
    </w:pPr>
    <w:rPr>
      <w:rFonts w:cs="Arial"/>
      <w:b/>
    </w:rPr>
  </w:style>
  <w:style w:type="paragraph" w:styleId="Heading6">
    <w:name w:val="heading 6"/>
    <w:basedOn w:val="Normal"/>
    <w:next w:val="Normal"/>
    <w:qFormat/>
    <w:rsid w:val="00D34B08"/>
    <w:pPr>
      <w:keepNext/>
      <w:outlineLvl w:val="5"/>
    </w:pPr>
    <w:rPr>
      <w:rFonts w:cs="Arial"/>
      <w:b/>
      <w:sz w:val="40"/>
      <w:szCs w:val="40"/>
    </w:rPr>
  </w:style>
  <w:style w:type="paragraph" w:styleId="Heading7">
    <w:name w:val="heading 7"/>
    <w:basedOn w:val="Normal"/>
    <w:next w:val="Normal"/>
    <w:qFormat/>
    <w:rsid w:val="004F145D"/>
    <w:pPr>
      <w:keepNext/>
      <w:outlineLvl w:val="6"/>
    </w:pPr>
    <w:rPr>
      <w:rFonts w:cs="Arial"/>
      <w:b/>
    </w:rPr>
  </w:style>
  <w:style w:type="paragraph" w:styleId="Heading8">
    <w:name w:val="heading 8"/>
    <w:basedOn w:val="Normal"/>
    <w:next w:val="Normal"/>
    <w:qFormat/>
    <w:rsid w:val="004F145D"/>
    <w:pPr>
      <w:keepNext/>
      <w:outlineLvl w:val="7"/>
    </w:pPr>
    <w:rPr>
      <w:rFonts w:cs="Arial"/>
      <w:sz w:val="36"/>
      <w:szCs w:val="36"/>
      <w:u w:val="single"/>
    </w:rPr>
  </w:style>
  <w:style w:type="paragraph" w:styleId="Heading9">
    <w:name w:val="heading 9"/>
    <w:basedOn w:val="Normal"/>
    <w:next w:val="Normal"/>
    <w:qFormat/>
    <w:rsid w:val="00E80DD5"/>
    <w:pPr>
      <w:keepNext/>
      <w:pBdr>
        <w:bottom w:val="single" w:sz="4" w:space="1" w:color="auto"/>
      </w:pBdr>
      <w:jc w:val="center"/>
      <w:outlineLvl w:val="8"/>
    </w:pPr>
    <w:rPr>
      <w:rFonts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66F4"/>
    <w:pPr>
      <w:jc w:val="center"/>
    </w:pPr>
    <w:rPr>
      <w:rFonts w:cs="Arial"/>
      <w:b/>
      <w:sz w:val="52"/>
      <w:szCs w:val="52"/>
    </w:rPr>
  </w:style>
  <w:style w:type="paragraph" w:styleId="BodyText">
    <w:name w:val="Body Text"/>
    <w:basedOn w:val="Normal"/>
    <w:rsid w:val="005166F4"/>
    <w:pPr>
      <w:jc w:val="center"/>
    </w:pPr>
    <w:rPr>
      <w:rFonts w:cs="Arial"/>
      <w:b/>
      <w:sz w:val="44"/>
      <w:szCs w:val="44"/>
    </w:rPr>
  </w:style>
  <w:style w:type="paragraph" w:styleId="BodyText2">
    <w:name w:val="Body Text 2"/>
    <w:basedOn w:val="Normal"/>
    <w:rsid w:val="007629FF"/>
    <w:rPr>
      <w:rFonts w:cs="Arial"/>
      <w:u w:val="single"/>
    </w:rPr>
  </w:style>
  <w:style w:type="paragraph" w:styleId="Footer">
    <w:name w:val="footer"/>
    <w:basedOn w:val="Normal"/>
    <w:link w:val="FooterChar"/>
    <w:uiPriority w:val="99"/>
    <w:rsid w:val="00B15AB0"/>
    <w:pPr>
      <w:tabs>
        <w:tab w:val="center" w:pos="4320"/>
        <w:tab w:val="right" w:pos="8640"/>
      </w:tabs>
    </w:pPr>
    <w:rPr>
      <w:sz w:val="20"/>
      <w:szCs w:val="20"/>
    </w:rPr>
  </w:style>
  <w:style w:type="paragraph" w:styleId="BodyTextIndent">
    <w:name w:val="Body Text Indent"/>
    <w:basedOn w:val="Normal"/>
    <w:rsid w:val="00840A8C"/>
    <w:pPr>
      <w:ind w:left="630"/>
    </w:pPr>
    <w:rPr>
      <w:szCs w:val="20"/>
    </w:rPr>
  </w:style>
  <w:style w:type="paragraph" w:styleId="BlockText">
    <w:name w:val="Block Text"/>
    <w:basedOn w:val="Normal"/>
    <w:rsid w:val="00840A8C"/>
    <w:pPr>
      <w:pBdr>
        <w:top w:val="dashSmallGap" w:sz="4" w:space="1" w:color="auto"/>
        <w:left w:val="dashSmallGap" w:sz="4" w:space="4" w:color="auto"/>
        <w:bottom w:val="dashSmallGap" w:sz="4" w:space="1" w:color="auto"/>
        <w:right w:val="dashSmallGap" w:sz="4" w:space="4" w:color="auto"/>
      </w:pBdr>
      <w:ind w:left="1440" w:right="1836"/>
    </w:pPr>
    <w:rPr>
      <w:rFonts w:cs="Arial"/>
    </w:rPr>
  </w:style>
  <w:style w:type="paragraph" w:styleId="BodyTextIndent2">
    <w:name w:val="Body Text Indent 2"/>
    <w:basedOn w:val="Normal"/>
    <w:rsid w:val="003047F6"/>
    <w:pPr>
      <w:pBdr>
        <w:top w:val="single" w:sz="4" w:space="1" w:color="auto"/>
        <w:left w:val="single" w:sz="4" w:space="4" w:color="auto"/>
        <w:bottom w:val="single" w:sz="4" w:space="1" w:color="auto"/>
        <w:right w:val="single" w:sz="4" w:space="4" w:color="auto"/>
      </w:pBdr>
      <w:ind w:left="360"/>
    </w:pPr>
    <w:rPr>
      <w:rFonts w:cs="Arial"/>
      <w:sz w:val="20"/>
      <w:szCs w:val="20"/>
    </w:rPr>
  </w:style>
  <w:style w:type="paragraph" w:styleId="BodyTextIndent3">
    <w:name w:val="Body Text Indent 3"/>
    <w:basedOn w:val="Normal"/>
    <w:rsid w:val="00E660DD"/>
    <w:pPr>
      <w:pBdr>
        <w:top w:val="dotDash" w:sz="4" w:space="1" w:color="auto"/>
        <w:left w:val="dotDash" w:sz="4" w:space="4" w:color="auto"/>
        <w:bottom w:val="dotDash" w:sz="4" w:space="1" w:color="auto"/>
        <w:right w:val="dotDash" w:sz="4" w:space="4" w:color="auto"/>
      </w:pBdr>
      <w:ind w:left="360"/>
    </w:pPr>
    <w:rPr>
      <w:rFonts w:cs="Arial"/>
    </w:rPr>
  </w:style>
  <w:style w:type="paragraph" w:styleId="BodyText3">
    <w:name w:val="Body Text 3"/>
    <w:basedOn w:val="Normal"/>
    <w:link w:val="BodyText3Char"/>
    <w:rsid w:val="00F1177A"/>
    <w:rPr>
      <w:sz w:val="20"/>
      <w:szCs w:val="20"/>
      <w:lang w:val="x-none" w:eastAsia="x-none"/>
    </w:rPr>
  </w:style>
  <w:style w:type="paragraph" w:styleId="Header">
    <w:name w:val="header"/>
    <w:basedOn w:val="Normal"/>
    <w:rsid w:val="006374D2"/>
    <w:pPr>
      <w:tabs>
        <w:tab w:val="center" w:pos="4320"/>
        <w:tab w:val="right" w:pos="8640"/>
      </w:tabs>
    </w:pPr>
  </w:style>
  <w:style w:type="character" w:styleId="PageNumber">
    <w:name w:val="page number"/>
    <w:basedOn w:val="DefaultParagraphFont"/>
    <w:rsid w:val="006374D2"/>
  </w:style>
  <w:style w:type="paragraph" w:customStyle="1" w:styleId="Box">
    <w:name w:val="Box"/>
    <w:basedOn w:val="Normal"/>
    <w:rsid w:val="00E80DD5"/>
    <w:pPr>
      <w:numPr>
        <w:numId w:val="1"/>
      </w:numPr>
      <w:tabs>
        <w:tab w:val="left" w:pos="-720"/>
      </w:tabs>
      <w:spacing w:after="240"/>
    </w:pPr>
    <w:rPr>
      <w:szCs w:val="20"/>
    </w:rPr>
  </w:style>
  <w:style w:type="paragraph" w:customStyle="1" w:styleId="BoxText">
    <w:name w:val="Box Text"/>
    <w:basedOn w:val="Normal"/>
    <w:next w:val="Normal"/>
    <w:rsid w:val="00E80DD5"/>
    <w:pPr>
      <w:tabs>
        <w:tab w:val="left" w:pos="3092"/>
      </w:tabs>
      <w:spacing w:after="120"/>
    </w:pPr>
    <w:rPr>
      <w:rFonts w:ascii="Arial Narrow" w:hAnsi="Arial Narrow"/>
      <w:szCs w:val="20"/>
    </w:rPr>
  </w:style>
  <w:style w:type="paragraph" w:styleId="BalloonText">
    <w:name w:val="Balloon Text"/>
    <w:basedOn w:val="Normal"/>
    <w:semiHidden/>
    <w:rsid w:val="00E80DD5"/>
    <w:rPr>
      <w:rFonts w:ascii="Tahoma" w:hAnsi="Tahoma" w:cs="Tahoma"/>
      <w:sz w:val="16"/>
      <w:szCs w:val="16"/>
    </w:rPr>
  </w:style>
  <w:style w:type="paragraph" w:customStyle="1" w:styleId="Preformatted">
    <w:name w:val="Preformatted"/>
    <w:basedOn w:val="Normal"/>
    <w:rsid w:val="006C11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uiPriority w:val="99"/>
    <w:rsid w:val="00596F57"/>
    <w:pPr>
      <w:spacing w:before="100" w:beforeAutospacing="1" w:after="100" w:afterAutospacing="1"/>
    </w:pPr>
    <w:rPr>
      <w:rFonts w:ascii="Tahoma" w:hAnsi="Tahoma" w:cs="Tahoma"/>
    </w:rPr>
  </w:style>
  <w:style w:type="character" w:styleId="Hyperlink">
    <w:name w:val="Hyperlink"/>
    <w:uiPriority w:val="99"/>
    <w:rsid w:val="002F0A4D"/>
    <w:rPr>
      <w:b/>
      <w:bCs/>
      <w:color w:val="990000"/>
      <w:u w:val="single"/>
    </w:rPr>
  </w:style>
  <w:style w:type="paragraph" w:customStyle="1" w:styleId="BodyText1">
    <w:name w:val="Body Text 1"/>
    <w:basedOn w:val="Normal"/>
    <w:rsid w:val="004168BC"/>
    <w:pPr>
      <w:tabs>
        <w:tab w:val="left" w:pos="720"/>
      </w:tabs>
      <w:spacing w:after="180"/>
    </w:pPr>
    <w:rPr>
      <w:szCs w:val="20"/>
    </w:rPr>
  </w:style>
  <w:style w:type="table" w:styleId="TableGrid">
    <w:name w:val="Table Grid"/>
    <w:basedOn w:val="TableNormal"/>
    <w:rsid w:val="00F8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A42C8"/>
    <w:rPr>
      <w:rFonts w:ascii="Courier New" w:hAnsi="Courier New"/>
      <w:sz w:val="20"/>
      <w:szCs w:val="20"/>
      <w:lang w:val="x-none" w:eastAsia="x-none"/>
    </w:rPr>
  </w:style>
  <w:style w:type="character" w:customStyle="1" w:styleId="Heading2Char">
    <w:name w:val="Heading 2 Char"/>
    <w:link w:val="Heading2"/>
    <w:rsid w:val="00056689"/>
    <w:rPr>
      <w:rFonts w:ascii="Arial" w:hAnsi="Arial" w:cs="Arial"/>
      <w:b/>
      <w:sz w:val="28"/>
      <w:szCs w:val="24"/>
      <w:u w:val="single"/>
    </w:rPr>
  </w:style>
  <w:style w:type="paragraph" w:styleId="Revision">
    <w:name w:val="Revision"/>
    <w:hidden/>
    <w:uiPriority w:val="99"/>
    <w:semiHidden/>
    <w:rsid w:val="001F7E27"/>
    <w:rPr>
      <w:sz w:val="24"/>
      <w:szCs w:val="24"/>
    </w:rPr>
  </w:style>
  <w:style w:type="paragraph" w:styleId="ListParagraph">
    <w:name w:val="List Paragraph"/>
    <w:basedOn w:val="Normal"/>
    <w:uiPriority w:val="34"/>
    <w:qFormat/>
    <w:rsid w:val="00E46209"/>
    <w:pPr>
      <w:ind w:left="720"/>
      <w:contextualSpacing/>
    </w:pPr>
  </w:style>
  <w:style w:type="paragraph" w:customStyle="1" w:styleId="Default">
    <w:name w:val="Default"/>
    <w:rsid w:val="00AE39CB"/>
    <w:pPr>
      <w:autoSpaceDE w:val="0"/>
      <w:autoSpaceDN w:val="0"/>
      <w:adjustRightInd w:val="0"/>
    </w:pPr>
    <w:rPr>
      <w:rFonts w:ascii="Calibri" w:hAnsi="Calibri" w:cs="Calibri"/>
      <w:color w:val="000000"/>
      <w:sz w:val="24"/>
      <w:szCs w:val="24"/>
    </w:rPr>
  </w:style>
  <w:style w:type="character" w:customStyle="1" w:styleId="BodyText3Char">
    <w:name w:val="Body Text 3 Char"/>
    <w:link w:val="BodyText3"/>
    <w:rsid w:val="00AF4825"/>
    <w:rPr>
      <w:rFonts w:ascii="Arial" w:hAnsi="Arial" w:cs="Arial"/>
    </w:rPr>
  </w:style>
  <w:style w:type="character" w:customStyle="1" w:styleId="PlainTextChar">
    <w:name w:val="Plain Text Char"/>
    <w:link w:val="PlainText"/>
    <w:rsid w:val="000C2364"/>
    <w:rPr>
      <w:rFonts w:ascii="Courier New" w:hAnsi="Courier New"/>
    </w:rPr>
  </w:style>
  <w:style w:type="character" w:styleId="HTMLCite">
    <w:name w:val="HTML Cite"/>
    <w:uiPriority w:val="99"/>
    <w:unhideWhenUsed/>
    <w:rsid w:val="00D624E5"/>
    <w:rPr>
      <w:i w:val="0"/>
      <w:iCs w:val="0"/>
      <w:color w:val="568E1A"/>
    </w:rPr>
  </w:style>
  <w:style w:type="character" w:styleId="Strong">
    <w:name w:val="Strong"/>
    <w:uiPriority w:val="22"/>
    <w:qFormat/>
    <w:rsid w:val="00D624E5"/>
    <w:rPr>
      <w:b/>
      <w:bCs/>
    </w:rPr>
  </w:style>
  <w:style w:type="character" w:styleId="Emphasis">
    <w:name w:val="Emphasis"/>
    <w:uiPriority w:val="20"/>
    <w:qFormat/>
    <w:rsid w:val="00F178BF"/>
    <w:rPr>
      <w:i/>
      <w:iCs/>
    </w:rPr>
  </w:style>
  <w:style w:type="paragraph" w:customStyle="1" w:styleId="TableText">
    <w:name w:val="Table Text"/>
    <w:basedOn w:val="Normal"/>
    <w:rsid w:val="00DA5201"/>
    <w:pPr>
      <w:tabs>
        <w:tab w:val="left" w:pos="450"/>
        <w:tab w:val="center" w:pos="900"/>
        <w:tab w:val="center" w:pos="1710"/>
        <w:tab w:val="center" w:pos="7380"/>
        <w:tab w:val="center" w:pos="7830"/>
        <w:tab w:val="center" w:pos="8280"/>
      </w:tabs>
      <w:spacing w:before="60" w:after="60"/>
    </w:pPr>
    <w:rPr>
      <w:sz w:val="20"/>
      <w:szCs w:val="20"/>
    </w:rPr>
  </w:style>
  <w:style w:type="paragraph" w:customStyle="1" w:styleId="AAText">
    <w:name w:val="AA Text"/>
    <w:basedOn w:val="Header"/>
    <w:rsid w:val="00DA5201"/>
    <w:pPr>
      <w:tabs>
        <w:tab w:val="clear" w:pos="4320"/>
        <w:tab w:val="clear" w:pos="8640"/>
      </w:tabs>
      <w:spacing w:before="60" w:after="60"/>
    </w:pPr>
    <w:rPr>
      <w:rFonts w:cs="Arial"/>
      <w:sz w:val="20"/>
    </w:rPr>
  </w:style>
  <w:style w:type="character" w:customStyle="1" w:styleId="FooterChar">
    <w:name w:val="Footer Char"/>
    <w:basedOn w:val="DefaultParagraphFont"/>
    <w:link w:val="Footer"/>
    <w:uiPriority w:val="99"/>
    <w:rsid w:val="00DA5201"/>
  </w:style>
  <w:style w:type="character" w:styleId="CommentReference">
    <w:name w:val="annotation reference"/>
    <w:rsid w:val="00860A00"/>
    <w:rPr>
      <w:sz w:val="16"/>
      <w:szCs w:val="16"/>
    </w:rPr>
  </w:style>
  <w:style w:type="paragraph" w:styleId="CommentText">
    <w:name w:val="annotation text"/>
    <w:basedOn w:val="Normal"/>
    <w:link w:val="CommentTextChar"/>
    <w:rsid w:val="00860A00"/>
    <w:rPr>
      <w:sz w:val="20"/>
      <w:szCs w:val="20"/>
    </w:rPr>
  </w:style>
  <w:style w:type="character" w:customStyle="1" w:styleId="CommentTextChar">
    <w:name w:val="Comment Text Char"/>
    <w:basedOn w:val="DefaultParagraphFont"/>
    <w:link w:val="CommentText"/>
    <w:rsid w:val="00860A00"/>
  </w:style>
  <w:style w:type="paragraph" w:styleId="CommentSubject">
    <w:name w:val="annotation subject"/>
    <w:basedOn w:val="CommentText"/>
    <w:next w:val="CommentText"/>
    <w:link w:val="CommentSubjectChar"/>
    <w:rsid w:val="00860A00"/>
    <w:rPr>
      <w:b/>
      <w:bCs/>
      <w:lang w:val="x-none" w:eastAsia="x-none"/>
    </w:rPr>
  </w:style>
  <w:style w:type="character" w:customStyle="1" w:styleId="CommentSubjectChar">
    <w:name w:val="Comment Subject Char"/>
    <w:link w:val="CommentSubject"/>
    <w:rsid w:val="00860A00"/>
    <w:rPr>
      <w:b/>
      <w:bCs/>
    </w:rPr>
  </w:style>
  <w:style w:type="character" w:styleId="FollowedHyperlink">
    <w:name w:val="FollowedHyperlink"/>
    <w:rsid w:val="00BC4C2E"/>
    <w:rPr>
      <w:color w:val="800080"/>
      <w:u w:val="single"/>
    </w:rPr>
  </w:style>
  <w:style w:type="paragraph" w:customStyle="1" w:styleId="secthead">
    <w:name w:val="secthead"/>
    <w:basedOn w:val="Normal"/>
    <w:uiPriority w:val="99"/>
    <w:rsid w:val="00287947"/>
    <w:pPr>
      <w:autoSpaceDE w:val="0"/>
      <w:autoSpaceDN w:val="0"/>
    </w:pPr>
    <w:rPr>
      <w:rFonts w:eastAsia="Calibri"/>
      <w:b/>
      <w:bCs/>
      <w:sz w:val="20"/>
      <w:szCs w:val="20"/>
    </w:rPr>
  </w:style>
  <w:style w:type="paragraph" w:styleId="FootnoteText">
    <w:name w:val="footnote text"/>
    <w:basedOn w:val="Normal"/>
    <w:link w:val="FootnoteTextChar"/>
    <w:rsid w:val="0021079C"/>
    <w:rPr>
      <w:sz w:val="20"/>
      <w:szCs w:val="20"/>
    </w:rPr>
  </w:style>
  <w:style w:type="character" w:customStyle="1" w:styleId="FootnoteTextChar">
    <w:name w:val="Footnote Text Char"/>
    <w:basedOn w:val="DefaultParagraphFont"/>
    <w:link w:val="FootnoteText"/>
    <w:rsid w:val="0021079C"/>
  </w:style>
  <w:style w:type="character" w:styleId="FootnoteReference">
    <w:name w:val="footnote reference"/>
    <w:rsid w:val="0021079C"/>
    <w:rPr>
      <w:vertAlign w:val="superscript"/>
    </w:rPr>
  </w:style>
  <w:style w:type="paragraph" w:styleId="TOC1">
    <w:name w:val="toc 1"/>
    <w:basedOn w:val="Normal"/>
    <w:next w:val="Normal"/>
    <w:autoRedefine/>
    <w:uiPriority w:val="39"/>
    <w:rsid w:val="002A292D"/>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C85953"/>
    <w:pPr>
      <w:ind w:left="220"/>
    </w:pPr>
    <w:rPr>
      <w:rFonts w:asciiTheme="minorHAnsi" w:hAnsiTheme="minorHAnsi" w:cstheme="minorHAnsi"/>
      <w:smallCaps/>
      <w:sz w:val="20"/>
      <w:szCs w:val="20"/>
    </w:rPr>
  </w:style>
  <w:style w:type="character" w:styleId="UnresolvedMention">
    <w:name w:val="Unresolved Mention"/>
    <w:uiPriority w:val="99"/>
    <w:semiHidden/>
    <w:unhideWhenUsed/>
    <w:rsid w:val="00106B10"/>
    <w:rPr>
      <w:color w:val="605E5C"/>
      <w:shd w:val="clear" w:color="auto" w:fill="E1DFDD"/>
    </w:rPr>
  </w:style>
  <w:style w:type="paragraph" w:customStyle="1" w:styleId="1BODYArial11">
    <w:name w:val="1.BODY Arial 11"/>
    <w:basedOn w:val="BodyText3"/>
    <w:qFormat/>
    <w:rsid w:val="00A8422F"/>
    <w:pPr>
      <w:spacing w:line="280" w:lineRule="exact"/>
      <w:jc w:val="both"/>
    </w:pPr>
    <w:rPr>
      <w:rFonts w:cs="Arial"/>
      <w:sz w:val="22"/>
      <w:szCs w:val="22"/>
    </w:rPr>
  </w:style>
  <w:style w:type="paragraph" w:customStyle="1" w:styleId="2BULLETArial11">
    <w:name w:val="2. •• BULLET Arial 11"/>
    <w:basedOn w:val="Normal"/>
    <w:qFormat/>
    <w:rsid w:val="00B109E4"/>
    <w:pPr>
      <w:numPr>
        <w:numId w:val="2"/>
      </w:numPr>
      <w:spacing w:line="280" w:lineRule="exact"/>
    </w:pPr>
    <w:rPr>
      <w:rFonts w:cs="Arial"/>
      <w:szCs w:val="22"/>
    </w:rPr>
  </w:style>
  <w:style w:type="paragraph" w:customStyle="1" w:styleId="3BOLDArial11">
    <w:name w:val="3. BOLD Arial 11"/>
    <w:basedOn w:val="Normal"/>
    <w:qFormat/>
    <w:rsid w:val="005F3FEF"/>
    <w:pPr>
      <w:spacing w:line="280" w:lineRule="exact"/>
      <w:jc w:val="both"/>
    </w:pPr>
    <w:rPr>
      <w:rFonts w:cs="Arial"/>
      <w:b/>
      <w:szCs w:val="22"/>
    </w:rPr>
  </w:style>
  <w:style w:type="paragraph" w:customStyle="1" w:styleId="4BoldArial14">
    <w:name w:val="4. Bold Arial 14"/>
    <w:basedOn w:val="Heading2"/>
    <w:qFormat/>
    <w:rsid w:val="00607C74"/>
  </w:style>
  <w:style w:type="paragraph" w:customStyle="1" w:styleId="Arial14Bold">
    <w:name w:val="Arial 14 Bold"/>
    <w:basedOn w:val="Heading2"/>
    <w:qFormat/>
    <w:rsid w:val="00D71245"/>
    <w:rPr>
      <w:bCs/>
      <w:iCs/>
      <w:szCs w:val="28"/>
    </w:rPr>
  </w:style>
  <w:style w:type="paragraph" w:customStyle="1" w:styleId="indent-4">
    <w:name w:val="indent-4"/>
    <w:basedOn w:val="Normal"/>
    <w:rsid w:val="00F07B0E"/>
    <w:pPr>
      <w:spacing w:before="100" w:beforeAutospacing="1" w:after="100" w:afterAutospacing="1"/>
    </w:pPr>
  </w:style>
  <w:style w:type="paragraph" w:customStyle="1" w:styleId="indent-5">
    <w:name w:val="indent-5"/>
    <w:basedOn w:val="Normal"/>
    <w:rsid w:val="00F07B0E"/>
    <w:pPr>
      <w:spacing w:before="100" w:beforeAutospacing="1" w:after="100" w:afterAutospacing="1"/>
    </w:pPr>
  </w:style>
  <w:style w:type="character" w:customStyle="1" w:styleId="paren">
    <w:name w:val="paren"/>
    <w:basedOn w:val="DefaultParagraphFont"/>
    <w:rsid w:val="00F07B0E"/>
  </w:style>
  <w:style w:type="paragraph" w:customStyle="1" w:styleId="1BODY-Arial11">
    <w:name w:val="1. BODY-Arial 11"/>
    <w:basedOn w:val="Normal"/>
    <w:autoRedefine/>
    <w:qFormat/>
    <w:rsid w:val="00F134FB"/>
    <w:pPr>
      <w:keepNext/>
    </w:pPr>
    <w:rPr>
      <w:rFonts w:cs="Arial"/>
      <w:bCs/>
      <w:color w:val="000000"/>
      <w:szCs w:val="22"/>
    </w:rPr>
  </w:style>
  <w:style w:type="paragraph" w:customStyle="1" w:styleId="4ArialBold14">
    <w:name w:val="4. Arial Bold 14"/>
    <w:basedOn w:val="Heading2"/>
    <w:qFormat/>
    <w:rsid w:val="007512A4"/>
    <w:rPr>
      <w:rFonts w:cs="Times New Roman"/>
      <w:szCs w:val="20"/>
    </w:rPr>
  </w:style>
  <w:style w:type="paragraph" w:styleId="TOC3">
    <w:name w:val="toc 3"/>
    <w:basedOn w:val="Normal"/>
    <w:next w:val="Normal"/>
    <w:autoRedefine/>
    <w:rsid w:val="0056757D"/>
    <w:pPr>
      <w:ind w:left="440"/>
    </w:pPr>
    <w:rPr>
      <w:rFonts w:asciiTheme="minorHAnsi" w:hAnsiTheme="minorHAnsi" w:cstheme="minorHAnsi"/>
      <w:i/>
      <w:iCs/>
      <w:sz w:val="20"/>
      <w:szCs w:val="20"/>
    </w:rPr>
  </w:style>
  <w:style w:type="paragraph" w:styleId="TOC4">
    <w:name w:val="toc 4"/>
    <w:basedOn w:val="Normal"/>
    <w:next w:val="Normal"/>
    <w:autoRedefine/>
    <w:rsid w:val="0056757D"/>
    <w:pPr>
      <w:ind w:left="660"/>
    </w:pPr>
    <w:rPr>
      <w:rFonts w:asciiTheme="minorHAnsi" w:hAnsiTheme="minorHAnsi" w:cstheme="minorHAnsi"/>
      <w:sz w:val="18"/>
      <w:szCs w:val="18"/>
    </w:rPr>
  </w:style>
  <w:style w:type="paragraph" w:styleId="TOC5">
    <w:name w:val="toc 5"/>
    <w:basedOn w:val="Normal"/>
    <w:next w:val="Normal"/>
    <w:autoRedefine/>
    <w:rsid w:val="0056757D"/>
    <w:pPr>
      <w:ind w:left="880"/>
    </w:pPr>
    <w:rPr>
      <w:rFonts w:asciiTheme="minorHAnsi" w:hAnsiTheme="minorHAnsi" w:cstheme="minorHAnsi"/>
      <w:sz w:val="18"/>
      <w:szCs w:val="18"/>
    </w:rPr>
  </w:style>
  <w:style w:type="paragraph" w:styleId="TOC6">
    <w:name w:val="toc 6"/>
    <w:basedOn w:val="Normal"/>
    <w:next w:val="Normal"/>
    <w:autoRedefine/>
    <w:rsid w:val="0056757D"/>
    <w:pPr>
      <w:ind w:left="1100"/>
    </w:pPr>
    <w:rPr>
      <w:rFonts w:asciiTheme="minorHAnsi" w:hAnsiTheme="minorHAnsi" w:cstheme="minorHAnsi"/>
      <w:sz w:val="18"/>
      <w:szCs w:val="18"/>
    </w:rPr>
  </w:style>
  <w:style w:type="paragraph" w:styleId="TOC7">
    <w:name w:val="toc 7"/>
    <w:basedOn w:val="Normal"/>
    <w:next w:val="Normal"/>
    <w:autoRedefine/>
    <w:rsid w:val="0056757D"/>
    <w:pPr>
      <w:ind w:left="1320"/>
    </w:pPr>
    <w:rPr>
      <w:rFonts w:asciiTheme="minorHAnsi" w:hAnsiTheme="minorHAnsi" w:cstheme="minorHAnsi"/>
      <w:sz w:val="18"/>
      <w:szCs w:val="18"/>
    </w:rPr>
  </w:style>
  <w:style w:type="paragraph" w:styleId="TOC8">
    <w:name w:val="toc 8"/>
    <w:basedOn w:val="Normal"/>
    <w:next w:val="Normal"/>
    <w:autoRedefine/>
    <w:rsid w:val="0056757D"/>
    <w:pPr>
      <w:ind w:left="1540"/>
    </w:pPr>
    <w:rPr>
      <w:rFonts w:asciiTheme="minorHAnsi" w:hAnsiTheme="minorHAnsi" w:cstheme="minorHAnsi"/>
      <w:sz w:val="18"/>
      <w:szCs w:val="18"/>
    </w:rPr>
  </w:style>
  <w:style w:type="paragraph" w:styleId="TOC9">
    <w:name w:val="toc 9"/>
    <w:basedOn w:val="Normal"/>
    <w:next w:val="Normal"/>
    <w:autoRedefine/>
    <w:rsid w:val="0056757D"/>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07230">
      <w:bodyDiv w:val="1"/>
      <w:marLeft w:val="0"/>
      <w:marRight w:val="0"/>
      <w:marTop w:val="0"/>
      <w:marBottom w:val="0"/>
      <w:divBdr>
        <w:top w:val="none" w:sz="0" w:space="0" w:color="auto"/>
        <w:left w:val="none" w:sz="0" w:space="0" w:color="auto"/>
        <w:bottom w:val="none" w:sz="0" w:space="0" w:color="auto"/>
        <w:right w:val="none" w:sz="0" w:space="0" w:color="auto"/>
      </w:divBdr>
    </w:div>
    <w:div w:id="178159019">
      <w:bodyDiv w:val="1"/>
      <w:marLeft w:val="0"/>
      <w:marRight w:val="0"/>
      <w:marTop w:val="0"/>
      <w:marBottom w:val="0"/>
      <w:divBdr>
        <w:top w:val="none" w:sz="0" w:space="0" w:color="auto"/>
        <w:left w:val="none" w:sz="0" w:space="0" w:color="auto"/>
        <w:bottom w:val="none" w:sz="0" w:space="0" w:color="auto"/>
        <w:right w:val="none" w:sz="0" w:space="0" w:color="auto"/>
      </w:divBdr>
    </w:div>
    <w:div w:id="594823519">
      <w:bodyDiv w:val="1"/>
      <w:marLeft w:val="0"/>
      <w:marRight w:val="0"/>
      <w:marTop w:val="0"/>
      <w:marBottom w:val="0"/>
      <w:divBdr>
        <w:top w:val="none" w:sz="0" w:space="0" w:color="auto"/>
        <w:left w:val="none" w:sz="0" w:space="0" w:color="auto"/>
        <w:bottom w:val="none" w:sz="0" w:space="0" w:color="auto"/>
        <w:right w:val="none" w:sz="0" w:space="0" w:color="auto"/>
      </w:divBdr>
    </w:div>
    <w:div w:id="626355555">
      <w:bodyDiv w:val="1"/>
      <w:marLeft w:val="0"/>
      <w:marRight w:val="0"/>
      <w:marTop w:val="0"/>
      <w:marBottom w:val="0"/>
      <w:divBdr>
        <w:top w:val="none" w:sz="0" w:space="0" w:color="auto"/>
        <w:left w:val="none" w:sz="0" w:space="0" w:color="auto"/>
        <w:bottom w:val="none" w:sz="0" w:space="0" w:color="auto"/>
        <w:right w:val="none" w:sz="0" w:space="0" w:color="auto"/>
      </w:divBdr>
    </w:div>
    <w:div w:id="694039839">
      <w:bodyDiv w:val="1"/>
      <w:marLeft w:val="0"/>
      <w:marRight w:val="0"/>
      <w:marTop w:val="0"/>
      <w:marBottom w:val="0"/>
      <w:divBdr>
        <w:top w:val="none" w:sz="0" w:space="0" w:color="auto"/>
        <w:left w:val="none" w:sz="0" w:space="0" w:color="auto"/>
        <w:bottom w:val="none" w:sz="0" w:space="0" w:color="auto"/>
        <w:right w:val="none" w:sz="0" w:space="0" w:color="auto"/>
      </w:divBdr>
    </w:div>
    <w:div w:id="721516419">
      <w:bodyDiv w:val="1"/>
      <w:marLeft w:val="0"/>
      <w:marRight w:val="0"/>
      <w:marTop w:val="0"/>
      <w:marBottom w:val="0"/>
      <w:divBdr>
        <w:top w:val="none" w:sz="0" w:space="0" w:color="auto"/>
        <w:left w:val="none" w:sz="0" w:space="0" w:color="auto"/>
        <w:bottom w:val="none" w:sz="0" w:space="0" w:color="auto"/>
        <w:right w:val="none" w:sz="0" w:space="0" w:color="auto"/>
      </w:divBdr>
    </w:div>
    <w:div w:id="909926674">
      <w:bodyDiv w:val="1"/>
      <w:marLeft w:val="0"/>
      <w:marRight w:val="0"/>
      <w:marTop w:val="0"/>
      <w:marBottom w:val="0"/>
      <w:divBdr>
        <w:top w:val="none" w:sz="0" w:space="0" w:color="auto"/>
        <w:left w:val="none" w:sz="0" w:space="0" w:color="auto"/>
        <w:bottom w:val="none" w:sz="0" w:space="0" w:color="auto"/>
        <w:right w:val="none" w:sz="0" w:space="0" w:color="auto"/>
      </w:divBdr>
      <w:divsChild>
        <w:div w:id="223613608">
          <w:marLeft w:val="0"/>
          <w:marRight w:val="0"/>
          <w:marTop w:val="0"/>
          <w:marBottom w:val="0"/>
          <w:divBdr>
            <w:top w:val="none" w:sz="0" w:space="0" w:color="auto"/>
            <w:left w:val="none" w:sz="0" w:space="0" w:color="auto"/>
            <w:bottom w:val="none" w:sz="0" w:space="0" w:color="auto"/>
            <w:right w:val="none" w:sz="0" w:space="0" w:color="auto"/>
          </w:divBdr>
          <w:divsChild>
            <w:div w:id="2081905103">
              <w:marLeft w:val="0"/>
              <w:marRight w:val="0"/>
              <w:marTop w:val="0"/>
              <w:marBottom w:val="0"/>
              <w:divBdr>
                <w:top w:val="none" w:sz="0" w:space="0" w:color="auto"/>
                <w:left w:val="none" w:sz="0" w:space="0" w:color="auto"/>
                <w:bottom w:val="none" w:sz="0" w:space="0" w:color="auto"/>
                <w:right w:val="none" w:sz="0" w:space="0" w:color="auto"/>
              </w:divBdr>
              <w:divsChild>
                <w:div w:id="543175006">
                  <w:marLeft w:val="0"/>
                  <w:marRight w:val="0"/>
                  <w:marTop w:val="0"/>
                  <w:marBottom w:val="0"/>
                  <w:divBdr>
                    <w:top w:val="none" w:sz="0" w:space="0" w:color="auto"/>
                    <w:left w:val="none" w:sz="0" w:space="0" w:color="auto"/>
                    <w:bottom w:val="none" w:sz="0" w:space="0" w:color="auto"/>
                    <w:right w:val="none" w:sz="0" w:space="0" w:color="auto"/>
                  </w:divBdr>
                  <w:divsChild>
                    <w:div w:id="10977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9479">
      <w:bodyDiv w:val="1"/>
      <w:marLeft w:val="0"/>
      <w:marRight w:val="0"/>
      <w:marTop w:val="0"/>
      <w:marBottom w:val="0"/>
      <w:divBdr>
        <w:top w:val="none" w:sz="0" w:space="0" w:color="auto"/>
        <w:left w:val="none" w:sz="0" w:space="0" w:color="auto"/>
        <w:bottom w:val="none" w:sz="0" w:space="0" w:color="auto"/>
        <w:right w:val="none" w:sz="0" w:space="0" w:color="auto"/>
      </w:divBdr>
      <w:divsChild>
        <w:div w:id="178282271">
          <w:marLeft w:val="0"/>
          <w:marRight w:val="0"/>
          <w:marTop w:val="0"/>
          <w:marBottom w:val="0"/>
          <w:divBdr>
            <w:top w:val="none" w:sz="0" w:space="0" w:color="auto"/>
            <w:left w:val="none" w:sz="0" w:space="0" w:color="auto"/>
            <w:bottom w:val="none" w:sz="0" w:space="0" w:color="auto"/>
            <w:right w:val="none" w:sz="0" w:space="0" w:color="auto"/>
          </w:divBdr>
        </w:div>
        <w:div w:id="1460338784">
          <w:marLeft w:val="0"/>
          <w:marRight w:val="0"/>
          <w:marTop w:val="0"/>
          <w:marBottom w:val="0"/>
          <w:divBdr>
            <w:top w:val="none" w:sz="0" w:space="0" w:color="auto"/>
            <w:left w:val="none" w:sz="0" w:space="0" w:color="auto"/>
            <w:bottom w:val="none" w:sz="0" w:space="0" w:color="auto"/>
            <w:right w:val="none" w:sz="0" w:space="0" w:color="auto"/>
          </w:divBdr>
        </w:div>
        <w:div w:id="2016834913">
          <w:marLeft w:val="0"/>
          <w:marRight w:val="0"/>
          <w:marTop w:val="0"/>
          <w:marBottom w:val="0"/>
          <w:divBdr>
            <w:top w:val="none" w:sz="0" w:space="0" w:color="auto"/>
            <w:left w:val="none" w:sz="0" w:space="0" w:color="auto"/>
            <w:bottom w:val="none" w:sz="0" w:space="0" w:color="auto"/>
            <w:right w:val="none" w:sz="0" w:space="0" w:color="auto"/>
          </w:divBdr>
        </w:div>
      </w:divsChild>
    </w:div>
    <w:div w:id="938684352">
      <w:bodyDiv w:val="1"/>
      <w:marLeft w:val="0"/>
      <w:marRight w:val="0"/>
      <w:marTop w:val="0"/>
      <w:marBottom w:val="0"/>
      <w:divBdr>
        <w:top w:val="none" w:sz="0" w:space="0" w:color="auto"/>
        <w:left w:val="none" w:sz="0" w:space="0" w:color="auto"/>
        <w:bottom w:val="none" w:sz="0" w:space="0" w:color="auto"/>
        <w:right w:val="none" w:sz="0" w:space="0" w:color="auto"/>
      </w:divBdr>
    </w:div>
    <w:div w:id="1319530449">
      <w:bodyDiv w:val="1"/>
      <w:marLeft w:val="0"/>
      <w:marRight w:val="0"/>
      <w:marTop w:val="0"/>
      <w:marBottom w:val="0"/>
      <w:divBdr>
        <w:top w:val="none" w:sz="0" w:space="0" w:color="auto"/>
        <w:left w:val="none" w:sz="0" w:space="0" w:color="auto"/>
        <w:bottom w:val="none" w:sz="0" w:space="0" w:color="auto"/>
        <w:right w:val="none" w:sz="0" w:space="0" w:color="auto"/>
      </w:divBdr>
    </w:div>
    <w:div w:id="1532693564">
      <w:bodyDiv w:val="1"/>
      <w:marLeft w:val="0"/>
      <w:marRight w:val="0"/>
      <w:marTop w:val="0"/>
      <w:marBottom w:val="0"/>
      <w:divBdr>
        <w:top w:val="none" w:sz="0" w:space="0" w:color="auto"/>
        <w:left w:val="none" w:sz="0" w:space="0" w:color="auto"/>
        <w:bottom w:val="none" w:sz="0" w:space="0" w:color="auto"/>
        <w:right w:val="none" w:sz="0" w:space="0" w:color="auto"/>
      </w:divBdr>
    </w:div>
    <w:div w:id="1559167659">
      <w:bodyDiv w:val="1"/>
      <w:marLeft w:val="0"/>
      <w:marRight w:val="0"/>
      <w:marTop w:val="0"/>
      <w:marBottom w:val="0"/>
      <w:divBdr>
        <w:top w:val="none" w:sz="0" w:space="0" w:color="auto"/>
        <w:left w:val="none" w:sz="0" w:space="0" w:color="auto"/>
        <w:bottom w:val="none" w:sz="0" w:space="0" w:color="auto"/>
        <w:right w:val="none" w:sz="0" w:space="0" w:color="auto"/>
      </w:divBdr>
    </w:div>
    <w:div w:id="1675377988">
      <w:bodyDiv w:val="1"/>
      <w:marLeft w:val="0"/>
      <w:marRight w:val="0"/>
      <w:marTop w:val="0"/>
      <w:marBottom w:val="0"/>
      <w:divBdr>
        <w:top w:val="none" w:sz="0" w:space="0" w:color="auto"/>
        <w:left w:val="none" w:sz="0" w:space="0" w:color="auto"/>
        <w:bottom w:val="none" w:sz="0" w:space="0" w:color="auto"/>
        <w:right w:val="none" w:sz="0" w:space="0" w:color="auto"/>
      </w:divBdr>
    </w:div>
    <w:div w:id="1721437941">
      <w:bodyDiv w:val="1"/>
      <w:marLeft w:val="0"/>
      <w:marRight w:val="0"/>
      <w:marTop w:val="0"/>
      <w:marBottom w:val="0"/>
      <w:divBdr>
        <w:top w:val="none" w:sz="0" w:space="0" w:color="auto"/>
        <w:left w:val="none" w:sz="0" w:space="0" w:color="auto"/>
        <w:bottom w:val="none" w:sz="0" w:space="0" w:color="auto"/>
        <w:right w:val="none" w:sz="0" w:space="0" w:color="auto"/>
      </w:divBdr>
    </w:div>
    <w:div w:id="1871799892">
      <w:bodyDiv w:val="1"/>
      <w:marLeft w:val="0"/>
      <w:marRight w:val="0"/>
      <w:marTop w:val="0"/>
      <w:marBottom w:val="0"/>
      <w:divBdr>
        <w:top w:val="none" w:sz="0" w:space="0" w:color="auto"/>
        <w:left w:val="none" w:sz="0" w:space="0" w:color="auto"/>
        <w:bottom w:val="none" w:sz="0" w:space="0" w:color="auto"/>
        <w:right w:val="none" w:sz="0" w:space="0" w:color="auto"/>
      </w:divBdr>
    </w:div>
    <w:div w:id="1941143000">
      <w:bodyDiv w:val="1"/>
      <w:marLeft w:val="0"/>
      <w:marRight w:val="0"/>
      <w:marTop w:val="0"/>
      <w:marBottom w:val="0"/>
      <w:divBdr>
        <w:top w:val="none" w:sz="0" w:space="0" w:color="auto"/>
        <w:left w:val="none" w:sz="0" w:space="0" w:color="auto"/>
        <w:bottom w:val="none" w:sz="0" w:space="0" w:color="auto"/>
        <w:right w:val="none" w:sz="0" w:space="0" w:color="auto"/>
      </w:divBdr>
    </w:div>
    <w:div w:id="2044859335">
      <w:bodyDiv w:val="1"/>
      <w:marLeft w:val="0"/>
      <w:marRight w:val="0"/>
      <w:marTop w:val="0"/>
      <w:marBottom w:val="0"/>
      <w:divBdr>
        <w:top w:val="none" w:sz="0" w:space="0" w:color="auto"/>
        <w:left w:val="none" w:sz="0" w:space="0" w:color="auto"/>
        <w:bottom w:val="none" w:sz="0" w:space="0" w:color="auto"/>
        <w:right w:val="none" w:sz="0" w:space="0" w:color="auto"/>
      </w:divBdr>
      <w:divsChild>
        <w:div w:id="1661350358">
          <w:marLeft w:val="0"/>
          <w:marRight w:val="0"/>
          <w:marTop w:val="0"/>
          <w:marBottom w:val="0"/>
          <w:divBdr>
            <w:top w:val="none" w:sz="0" w:space="0" w:color="auto"/>
            <w:left w:val="none" w:sz="0" w:space="0" w:color="auto"/>
            <w:bottom w:val="none" w:sz="0" w:space="0" w:color="auto"/>
            <w:right w:val="none" w:sz="0" w:space="0" w:color="auto"/>
          </w:divBdr>
          <w:divsChild>
            <w:div w:id="234050602">
              <w:marLeft w:val="0"/>
              <w:marRight w:val="0"/>
              <w:marTop w:val="0"/>
              <w:marBottom w:val="0"/>
              <w:divBdr>
                <w:top w:val="none" w:sz="0" w:space="0" w:color="auto"/>
                <w:left w:val="none" w:sz="0" w:space="0" w:color="auto"/>
                <w:bottom w:val="none" w:sz="0" w:space="0" w:color="auto"/>
                <w:right w:val="none" w:sz="0" w:space="0" w:color="auto"/>
              </w:divBdr>
              <w:divsChild>
                <w:div w:id="1609895117">
                  <w:marLeft w:val="2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whd/resources/cmp.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hud.gov/hudportal/documents/huddoc?id=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bors@TexasAgriculture.gov" TargetMode="External"/><Relationship Id="rId5" Type="http://schemas.openxmlformats.org/officeDocument/2006/relationships/numbering" Target="numbering.xml"/><Relationship Id="rId15" Type="http://schemas.openxmlformats.org/officeDocument/2006/relationships/hyperlink" Target="https://www.texasagriculture.gov/Grants-Services/Rural-Economic-Development/Rural-Community-Development-Block-Grant-CDBG/For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agriculture.gov/Grants-Services/Rural-Economic-Development/Rural-Community-Development-Block-Grant-CDB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33B67-2E38-4ED6-BA54-85615B046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F8683-4916-46C5-B3D7-58F190E9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3C482-8014-4CF7-92C3-4D0C24321A55}">
  <ds:schemaRefs>
    <ds:schemaRef ds:uri="http://schemas.openxmlformats.org/officeDocument/2006/bibliography"/>
  </ds:schemaRefs>
</ds:datastoreItem>
</file>

<file path=customXml/itemProps4.xml><?xml version="1.0" encoding="utf-8"?>
<ds:datastoreItem xmlns:ds="http://schemas.openxmlformats.org/officeDocument/2006/customXml" ds:itemID="{180CF651-3547-4B90-8E83-0D48CE8BA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13</Pages>
  <Words>5555</Words>
  <Characters>34221</Characters>
  <Application>Microsoft Office Word</Application>
  <DocSecurity>0</DocSecurity>
  <Lines>950</Lines>
  <Paragraphs>405</Paragraphs>
  <ScaleCrop>false</ScaleCrop>
  <HeadingPairs>
    <vt:vector size="2" baseType="variant">
      <vt:variant>
        <vt:lpstr>Title</vt:lpstr>
      </vt:variant>
      <vt:variant>
        <vt:i4>1</vt:i4>
      </vt:variant>
    </vt:vector>
  </HeadingPairs>
  <TitlesOfParts>
    <vt:vector size="1" baseType="lpstr">
      <vt:lpstr>CHAPTER 7</vt:lpstr>
    </vt:vector>
  </TitlesOfParts>
  <Company>ORCA</Company>
  <LinksUpToDate>false</LinksUpToDate>
  <CharactersWithSpaces>39371</CharactersWithSpaces>
  <SharedDoc>false</SharedDoc>
  <HLinks>
    <vt:vector size="72" baseType="variant">
      <vt:variant>
        <vt:i4>720981</vt:i4>
      </vt:variant>
      <vt:variant>
        <vt:i4>66</vt:i4>
      </vt:variant>
      <vt:variant>
        <vt:i4>0</vt:i4>
      </vt:variant>
      <vt:variant>
        <vt:i4>5</vt:i4>
      </vt:variant>
      <vt:variant>
        <vt:lpwstr>https://www.dol.gov/whd/resources/cmp.htm</vt:lpwstr>
      </vt:variant>
      <vt:variant>
        <vt:lpwstr/>
      </vt:variant>
      <vt:variant>
        <vt:i4>6357036</vt:i4>
      </vt:variant>
      <vt:variant>
        <vt:i4>63</vt:i4>
      </vt:variant>
      <vt:variant>
        <vt:i4>0</vt:i4>
      </vt:variant>
      <vt:variant>
        <vt:i4>5</vt:i4>
      </vt:variant>
      <vt:variant>
        <vt:lpwstr>http://portal.hud.gov/hudportal/documents/huddoc?id=11.pdf</vt:lpwstr>
      </vt:variant>
      <vt:variant>
        <vt:lpwstr/>
      </vt:variant>
      <vt:variant>
        <vt:i4>1179698</vt:i4>
      </vt:variant>
      <vt:variant>
        <vt:i4>56</vt:i4>
      </vt:variant>
      <vt:variant>
        <vt:i4>0</vt:i4>
      </vt:variant>
      <vt:variant>
        <vt:i4>5</vt:i4>
      </vt:variant>
      <vt:variant>
        <vt:lpwstr/>
      </vt:variant>
      <vt:variant>
        <vt:lpwstr>_Toc46135020</vt:lpwstr>
      </vt:variant>
      <vt:variant>
        <vt:i4>1769521</vt:i4>
      </vt:variant>
      <vt:variant>
        <vt:i4>50</vt:i4>
      </vt:variant>
      <vt:variant>
        <vt:i4>0</vt:i4>
      </vt:variant>
      <vt:variant>
        <vt:i4>5</vt:i4>
      </vt:variant>
      <vt:variant>
        <vt:lpwstr/>
      </vt:variant>
      <vt:variant>
        <vt:lpwstr>_Toc46135019</vt:lpwstr>
      </vt:variant>
      <vt:variant>
        <vt:i4>1703985</vt:i4>
      </vt:variant>
      <vt:variant>
        <vt:i4>44</vt:i4>
      </vt:variant>
      <vt:variant>
        <vt:i4>0</vt:i4>
      </vt:variant>
      <vt:variant>
        <vt:i4>5</vt:i4>
      </vt:variant>
      <vt:variant>
        <vt:lpwstr/>
      </vt:variant>
      <vt:variant>
        <vt:lpwstr>_Toc46135018</vt:lpwstr>
      </vt:variant>
      <vt:variant>
        <vt:i4>1376305</vt:i4>
      </vt:variant>
      <vt:variant>
        <vt:i4>38</vt:i4>
      </vt:variant>
      <vt:variant>
        <vt:i4>0</vt:i4>
      </vt:variant>
      <vt:variant>
        <vt:i4>5</vt:i4>
      </vt:variant>
      <vt:variant>
        <vt:lpwstr/>
      </vt:variant>
      <vt:variant>
        <vt:lpwstr>_Toc46135017</vt:lpwstr>
      </vt:variant>
      <vt:variant>
        <vt:i4>1310769</vt:i4>
      </vt:variant>
      <vt:variant>
        <vt:i4>32</vt:i4>
      </vt:variant>
      <vt:variant>
        <vt:i4>0</vt:i4>
      </vt:variant>
      <vt:variant>
        <vt:i4>5</vt:i4>
      </vt:variant>
      <vt:variant>
        <vt:lpwstr/>
      </vt:variant>
      <vt:variant>
        <vt:lpwstr>_Toc46135016</vt:lpwstr>
      </vt:variant>
      <vt:variant>
        <vt:i4>1507377</vt:i4>
      </vt:variant>
      <vt:variant>
        <vt:i4>26</vt:i4>
      </vt:variant>
      <vt:variant>
        <vt:i4>0</vt:i4>
      </vt:variant>
      <vt:variant>
        <vt:i4>5</vt:i4>
      </vt:variant>
      <vt:variant>
        <vt:lpwstr/>
      </vt:variant>
      <vt:variant>
        <vt:lpwstr>_Toc46135015</vt:lpwstr>
      </vt:variant>
      <vt:variant>
        <vt:i4>1441841</vt:i4>
      </vt:variant>
      <vt:variant>
        <vt:i4>20</vt:i4>
      </vt:variant>
      <vt:variant>
        <vt:i4>0</vt:i4>
      </vt:variant>
      <vt:variant>
        <vt:i4>5</vt:i4>
      </vt:variant>
      <vt:variant>
        <vt:lpwstr/>
      </vt:variant>
      <vt:variant>
        <vt:lpwstr>_Toc46135014</vt:lpwstr>
      </vt:variant>
      <vt:variant>
        <vt:i4>1114161</vt:i4>
      </vt:variant>
      <vt:variant>
        <vt:i4>14</vt:i4>
      </vt:variant>
      <vt:variant>
        <vt:i4>0</vt:i4>
      </vt:variant>
      <vt:variant>
        <vt:i4>5</vt:i4>
      </vt:variant>
      <vt:variant>
        <vt:lpwstr/>
      </vt:variant>
      <vt:variant>
        <vt:lpwstr>_Toc46135013</vt:lpwstr>
      </vt:variant>
      <vt:variant>
        <vt:i4>1048625</vt:i4>
      </vt:variant>
      <vt:variant>
        <vt:i4>8</vt:i4>
      </vt:variant>
      <vt:variant>
        <vt:i4>0</vt:i4>
      </vt:variant>
      <vt:variant>
        <vt:i4>5</vt:i4>
      </vt:variant>
      <vt:variant>
        <vt:lpwstr/>
      </vt:variant>
      <vt:variant>
        <vt:lpwstr>_Toc46135012</vt:lpwstr>
      </vt:variant>
      <vt:variant>
        <vt:i4>1245233</vt:i4>
      </vt:variant>
      <vt:variant>
        <vt:i4>2</vt:i4>
      </vt:variant>
      <vt:variant>
        <vt:i4>0</vt:i4>
      </vt:variant>
      <vt:variant>
        <vt:i4>5</vt:i4>
      </vt:variant>
      <vt:variant>
        <vt:lpwstr/>
      </vt:variant>
      <vt:variant>
        <vt:lpwstr>_Toc46135011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jhartley</dc:creator>
  <cp:keywords/>
  <cp:lastModifiedBy>Suzanne Barnard</cp:lastModifiedBy>
  <cp:revision>27</cp:revision>
  <cp:lastPrinted>2019-08-26T23:09:00Z</cp:lastPrinted>
  <dcterms:created xsi:type="dcterms:W3CDTF">2022-11-03T21:32:00Z</dcterms:created>
  <dcterms:modified xsi:type="dcterms:W3CDTF">2024-07-14T00:05:00Z</dcterms:modified>
</cp:coreProperties>
</file>